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BD" w:rsidRDefault="00323151">
      <w:pPr>
        <w:pStyle w:val="ad"/>
        <w:rPr>
          <w:rFonts w:ascii="Times New Roman" w:hAnsi="Times New Roman" w:cs="Times New Roman"/>
          <w:color w:val="FF0000"/>
          <w:sz w:val="32"/>
          <w:szCs w:val="32"/>
        </w:rPr>
      </w:pPr>
      <w:r>
        <w:rPr>
          <w:rFonts w:ascii="Times New Roman" w:hAnsi="Times New Roman" w:cs="Times New Roman"/>
          <w:noProof/>
          <w:color w:val="FF0000"/>
          <w:sz w:val="32"/>
          <w:szCs w:val="32"/>
          <w:lang w:eastAsia="ru-RU"/>
        </w:rPr>
        <mc:AlternateContent>
          <mc:Choice Requires="wps">
            <w:drawing>
              <wp:anchor distT="0" distB="0" distL="115200" distR="115200" simplePos="0" relativeHeight="41984" behindDoc="0" locked="0" layoutInCell="1" allowOverlap="1">
                <wp:simplePos x="0" y="0"/>
                <wp:positionH relativeFrom="column">
                  <wp:posOffset>-431460</wp:posOffset>
                </wp:positionH>
                <wp:positionV relativeFrom="paragraph">
                  <wp:posOffset>-142875</wp:posOffset>
                </wp:positionV>
                <wp:extent cx="6448425" cy="1247235"/>
                <wp:effectExtent l="6350" t="6350" r="6350" b="6350"/>
                <wp:wrapNone/>
                <wp:docPr id="1" name="Прямоугольник 1"/>
                <wp:cNvGraphicFramePr/>
                <a:graphic xmlns:a="http://schemas.openxmlformats.org/drawingml/2006/main">
                  <a:graphicData uri="http://schemas.microsoft.com/office/word/2010/wordprocessingShape">
                    <wps:wsp>
                      <wps:cNvSpPr/>
                      <wps:spPr bwMode="auto">
                        <a:xfrm>
                          <a:off x="0" y="0"/>
                          <a:ext cx="6448424" cy="1247234"/>
                        </a:xfrm>
                        <a:prstGeom prst="rect">
                          <a:avLst/>
                        </a:prstGeom>
                        <a:noFill/>
                        <a:ln>
                          <a:noFill/>
                        </a:ln>
                      </wps:spPr>
                      <wps:txbx>
                        <w:txbxContent>
                          <w:p w:rsidR="009846BD" w:rsidRDefault="00323151">
                            <w:pPr>
                              <w:jc w:val="center"/>
                              <w:rPr>
                                <w:b/>
                                <w:bCs/>
                                <w:sz w:val="48"/>
                                <w:szCs w:val="48"/>
                                <w14:textOutline w14:w="0" w14:cap="flat" w14:cmpd="sng" w14:algn="ctr">
                                  <w14:noFill/>
                                  <w14:prstDash w14:val="solid"/>
                                  <w14:round/>
                                </w14:textOutline>
                                <w14:textFill>
                                  <w14:gradFill>
                                    <w14:gsLst>
                                      <w14:gs w14:pos="0">
                                        <w14:schemeClr w14:val="accent5">
                                          <w14:lumMod w14:val="75000"/>
                                        </w14:schemeClr>
                                      </w14:gs>
                                      <w14:gs w14:pos="100000">
                                        <w14:schemeClr w14:val="accent1"/>
                                      </w14:gs>
                                    </w14:gsLst>
                                    <w14:lin w14:ang="5400000" w14:scaled="1"/>
                                  </w14:gradFill>
                                </w14:textFill>
                              </w:rPr>
                            </w:pPr>
                            <w:r>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t xml:space="preserve">Обзор изменений в законодательстве </w:t>
                            </w:r>
                            <w:r>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br/>
                              <w:t xml:space="preserve">по противодействию коррупции </w:t>
                            </w:r>
                            <w:r>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br/>
                              <w:t xml:space="preserve">за </w:t>
                            </w:r>
                            <w:r w:rsidR="00AC3811">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t>4</w:t>
                            </w:r>
                            <w:r>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t xml:space="preserve"> квартал 2024 года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Прямоугольник 1" o:spid="_x0000_s1026" style="position:absolute;margin-left:-33.95pt;margin-top:-11.25pt;width:507.75pt;height:98.2pt;z-index:4198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" filled="f" stroked="f">
                <v:textbox>
                  <w:txbxContent>
                    <w:p w:rsidR="009846BD" w:rsidRDefault="00323151">
                      <w:pPr>
                        <w:jc w:val="center"/>
                        <w:rPr>
                          <w:b/>
                          <w:bCs/>
                          <w:sz w:val="48"/>
                          <w:szCs w:val="48"/>
                          <w14:textOutline w14:w="0" w14:cap="flat" w14:cmpd="sng" w14:algn="ctr">
                            <w14:noFill/>
                            <w14:prstDash w14:val="solid"/>
                            <w14:round/>
                          </w14:textOutline>
                          <w14:textFill>
                            <w14:gradFill>
                              <w14:gsLst>
                                <w14:gs w14:pos="0">
                                  <w14:schemeClr w14:val="accent5">
                                    <w14:lumMod w14:val="75000"/>
                                  </w14:schemeClr>
                                </w14:gs>
                                <w14:gs w14:pos="100000">
                                  <w14:schemeClr w14:val="accent1"/>
                                </w14:gs>
                              </w14:gsLst>
                              <w14:lin w14:ang="5400000" w14:scaled="1"/>
                            </w14:gradFill>
                          </w14:textFill>
                        </w:rPr>
                      </w:pPr>
                      <w:r>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t xml:space="preserve">Обзор изменений в законодательстве </w:t>
                      </w:r>
                      <w:r>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br/>
                        <w:t xml:space="preserve">по противодействию коррупции </w:t>
                      </w:r>
                      <w:r>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br/>
                        <w:t xml:space="preserve">за </w:t>
                      </w:r>
                      <w:r w:rsidR="00AC3811">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t>4</w:t>
                      </w:r>
                      <w:r>
                        <w:rPr>
                          <w:b/>
                          <w:bCs/>
                          <w:sz w:val="48"/>
                          <w:szCs w:val="48"/>
                          <w14:textOutline w14:w="0" w14:cap="flat" w14:cmpd="sng" w14:algn="ctr">
                            <w14:noFill/>
                            <w14:prstDash w14:val="solid"/>
                            <w14:bevel/>
                          </w14:textOutline>
                          <w14:textFill>
                            <w14:gradFill>
                              <w14:gsLst>
                                <w14:gs w14:pos="0">
                                  <w14:schemeClr w14:val="accent5">
                                    <w14:lumMod w14:val="75000"/>
                                  </w14:schemeClr>
                                </w14:gs>
                                <w14:gs w14:pos="100000">
                                  <w14:schemeClr w14:val="accent1"/>
                                </w14:gs>
                              </w14:gsLst>
                              <w14:lin w14:ang="5400000" w14:scaled="1"/>
                            </w14:gradFill>
                          </w14:textFill>
                        </w:rPr>
                        <w:t xml:space="preserve"> квартал 2024 года</w:t>
                      </w:r>
                    </w:p>
                  </w:txbxContent>
                </v:textbox>
              </v:rect>
            </w:pict>
          </mc:Fallback>
        </mc:AlternateContent>
      </w:r>
    </w:p>
    <w:p w:rsidR="009846BD" w:rsidRDefault="009846BD">
      <w:pPr>
        <w:pStyle w:val="ad"/>
        <w:rPr>
          <w:rFonts w:ascii="Times New Roman" w:hAnsi="Times New Roman" w:cs="Times New Roman"/>
          <w:color w:val="FF0000"/>
          <w:sz w:val="32"/>
          <w:szCs w:val="32"/>
        </w:rPr>
      </w:pPr>
    </w:p>
    <w:p w:rsidR="009846BD" w:rsidRDefault="009846BD">
      <w:pPr>
        <w:pStyle w:val="13"/>
        <w:spacing w:before="0" w:beforeAutospacing="0" w:after="0" w:afterAutospacing="0"/>
        <w:ind w:firstLine="708"/>
        <w:jc w:val="center"/>
        <w:rPr>
          <w:b/>
          <w:bCs/>
          <w:sz w:val="28"/>
          <w:szCs w:val="28"/>
        </w:rPr>
      </w:pPr>
    </w:p>
    <w:p w:rsidR="009846BD" w:rsidRPr="00AC3811" w:rsidRDefault="00AC3811">
      <w:pPr>
        <w:pStyle w:val="13"/>
        <w:spacing w:before="0" w:beforeAutospacing="0" w:after="0" w:afterAutospacing="0"/>
        <w:ind w:firstLine="708"/>
        <w:jc w:val="center"/>
        <w:rPr>
          <w:b/>
          <w:bCs/>
          <w:sz w:val="28"/>
          <w:szCs w:val="28"/>
        </w:rPr>
      </w:pPr>
      <w:r>
        <w:rPr>
          <w:noProof/>
          <w:color w:val="000000" w:themeColor="text1"/>
          <w:sz w:val="28"/>
          <w:szCs w:val="28"/>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113030</wp:posOffset>
            </wp:positionV>
            <wp:extent cx="2714625" cy="1424940"/>
            <wp:effectExtent l="0" t="0" r="9525" b="3810"/>
            <wp:wrapTight wrapText="bothSides">
              <wp:wrapPolygon edited="0">
                <wp:start x="0" y="0"/>
                <wp:lineTo x="0" y="21369"/>
                <wp:lineTo x="21524" y="21369"/>
                <wp:lineTo x="2152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7i0g9gubn5td67h2oimlrhmiib4j5a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4625" cy="1424940"/>
                    </a:xfrm>
                    <a:prstGeom prst="rect">
                      <a:avLst/>
                    </a:prstGeom>
                  </pic:spPr>
                </pic:pic>
              </a:graphicData>
            </a:graphic>
            <wp14:sizeRelH relativeFrom="margin">
              <wp14:pctWidth>0</wp14:pctWidth>
            </wp14:sizeRelH>
            <wp14:sizeRelV relativeFrom="margin">
              <wp14:pctHeight>0</wp14:pctHeight>
            </wp14:sizeRelV>
          </wp:anchor>
        </w:drawing>
      </w:r>
    </w:p>
    <w:p w:rsid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AC3811">
        <w:rPr>
          <w:rFonts w:ascii="Times New Roman" w:eastAsia="Times New Roman" w:hAnsi="Times New Roman" w:cs="Times New Roman"/>
          <w:b/>
          <w:color w:val="000000" w:themeColor="text1"/>
          <w:sz w:val="28"/>
          <w:szCs w:val="28"/>
        </w:rPr>
        <w:t>Указ Президента Российской Федерации от 10.10.2024 № 870</w:t>
      </w:r>
      <w:r w:rsidRPr="00AC3811">
        <w:rPr>
          <w:rFonts w:ascii="Times New Roman" w:eastAsia="Times New Roman" w:hAnsi="Times New Roman" w:cs="Times New Roman"/>
          <w:b/>
          <w:color w:val="000000" w:themeColor="text1"/>
          <w:sz w:val="28"/>
          <w:szCs w:val="28"/>
        </w:rPr>
        <w:t xml:space="preserve"> </w:t>
      </w:r>
      <w:r w:rsidR="00C43A7A">
        <w:rPr>
          <w:rFonts w:ascii="Times New Roman" w:eastAsia="Times New Roman" w:hAnsi="Times New Roman" w:cs="Times New Roman"/>
          <w:b/>
          <w:color w:val="000000" w:themeColor="text1"/>
          <w:sz w:val="28"/>
          <w:szCs w:val="28"/>
        </w:rPr>
        <w:br/>
      </w:r>
      <w:r w:rsidRPr="00AC3811">
        <w:rPr>
          <w:rFonts w:ascii="Times New Roman" w:eastAsia="Times New Roman" w:hAnsi="Times New Roman" w:cs="Times New Roman"/>
          <w:b/>
          <w:color w:val="000000" w:themeColor="text1"/>
          <w:sz w:val="28"/>
          <w:szCs w:val="28"/>
        </w:rPr>
        <w:t>«О некоторых вопросах представления сведений при поступлении</w:t>
      </w:r>
      <w:r w:rsidRPr="00AC3811">
        <w:rPr>
          <w:rFonts w:ascii="Times New Roman" w:eastAsia="Times New Roman" w:hAnsi="Times New Roman" w:cs="Times New Roman"/>
          <w:b/>
          <w:color w:val="000000" w:themeColor="text1"/>
          <w:sz w:val="28"/>
          <w:szCs w:val="28"/>
        </w:rPr>
        <w:t xml:space="preserve"> </w:t>
      </w:r>
      <w:r w:rsidRPr="00AC3811">
        <w:rPr>
          <w:rFonts w:ascii="Times New Roman" w:eastAsia="Times New Roman" w:hAnsi="Times New Roman" w:cs="Times New Roman"/>
          <w:b/>
          <w:color w:val="000000" w:themeColor="text1"/>
          <w:sz w:val="28"/>
          <w:szCs w:val="28"/>
        </w:rPr>
        <w:t>на государственную службу Российской Федерации и муниципальную</w:t>
      </w:r>
      <w:r w:rsidRPr="00AC3811">
        <w:rPr>
          <w:rFonts w:ascii="Times New Roman" w:eastAsia="Times New Roman" w:hAnsi="Times New Roman" w:cs="Times New Roman"/>
          <w:b/>
          <w:color w:val="000000" w:themeColor="text1"/>
          <w:sz w:val="28"/>
          <w:szCs w:val="28"/>
        </w:rPr>
        <w:t xml:space="preserve"> </w:t>
      </w:r>
      <w:r w:rsidRPr="00AC3811">
        <w:rPr>
          <w:rFonts w:ascii="Times New Roman" w:eastAsia="Times New Roman" w:hAnsi="Times New Roman" w:cs="Times New Roman"/>
          <w:b/>
          <w:color w:val="000000" w:themeColor="text1"/>
          <w:sz w:val="28"/>
          <w:szCs w:val="28"/>
        </w:rPr>
        <w:t xml:space="preserve">службу </w:t>
      </w:r>
      <w:r w:rsidR="00C43A7A">
        <w:rPr>
          <w:rFonts w:ascii="Times New Roman" w:eastAsia="Times New Roman" w:hAnsi="Times New Roman" w:cs="Times New Roman"/>
          <w:b/>
          <w:color w:val="000000" w:themeColor="text1"/>
          <w:sz w:val="28"/>
          <w:szCs w:val="28"/>
        </w:rPr>
        <w:br/>
      </w:r>
      <w:r w:rsidRPr="00AC3811">
        <w:rPr>
          <w:rFonts w:ascii="Times New Roman" w:eastAsia="Times New Roman" w:hAnsi="Times New Roman" w:cs="Times New Roman"/>
          <w:b/>
          <w:color w:val="000000" w:themeColor="text1"/>
          <w:sz w:val="28"/>
          <w:szCs w:val="28"/>
        </w:rPr>
        <w:t>в Российской Федерации и их актуализации»</w:t>
      </w:r>
      <w:r w:rsidR="00C22B39">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Pr="00AC3811">
        <w:rPr>
          <w:rFonts w:ascii="Times New Roman" w:eastAsia="Times New Roman" w:hAnsi="Times New Roman" w:cs="Times New Roman"/>
          <w:color w:val="000000" w:themeColor="text1"/>
          <w:sz w:val="28"/>
          <w:szCs w:val="28"/>
        </w:rPr>
        <w:t>Установлена новая форма анкеты, представляемой гражданином</w:t>
      </w:r>
      <w:r>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при поступлении на государственную или муниципальную службу, а также</w:t>
      </w:r>
      <w:r>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форма сообщения об изменении содержащихся в ней сведений.</w:t>
      </w:r>
      <w:r>
        <w:rPr>
          <w:rFonts w:ascii="Times New Roman" w:eastAsia="Times New Roman" w:hAnsi="Times New Roman" w:cs="Times New Roman"/>
          <w:color w:val="000000" w:themeColor="text1"/>
          <w:sz w:val="28"/>
          <w:szCs w:val="28"/>
        </w:rPr>
        <w:t xml:space="preserve"> </w:t>
      </w:r>
    </w:p>
    <w:p w:rsidR="00AC3811" w:rsidRP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AC3811">
        <w:rPr>
          <w:rFonts w:ascii="Times New Roman" w:eastAsia="Times New Roman" w:hAnsi="Times New Roman" w:cs="Times New Roman"/>
          <w:color w:val="000000" w:themeColor="text1"/>
          <w:sz w:val="28"/>
          <w:szCs w:val="28"/>
        </w:rPr>
        <w:t>Кроме того, определена форма анкеты для поступления на военную</w:t>
      </w:r>
      <w:r>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службу по контракту в органы федеральной службы безопасности.</w:t>
      </w:r>
    </w:p>
    <w:p w:rsidR="00AC3811" w:rsidRP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AC3811">
        <w:rPr>
          <w:rFonts w:ascii="Times New Roman" w:eastAsia="Times New Roman" w:hAnsi="Times New Roman" w:cs="Times New Roman"/>
          <w:color w:val="000000" w:themeColor="text1"/>
          <w:sz w:val="28"/>
          <w:szCs w:val="28"/>
        </w:rPr>
        <w:t>Предусмотрены сроки и порядок сообщения об изменении сведений,</w:t>
      </w:r>
      <w:r>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содержащихся в анкетах.</w:t>
      </w:r>
    </w:p>
    <w:p w:rsid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AC3811">
        <w:rPr>
          <w:rFonts w:ascii="Times New Roman" w:eastAsia="Times New Roman" w:hAnsi="Times New Roman" w:cs="Times New Roman"/>
          <w:color w:val="000000" w:themeColor="text1"/>
          <w:sz w:val="28"/>
          <w:szCs w:val="28"/>
        </w:rPr>
        <w:t>С 1 января 2026 года анкета для государственных служащих</w:t>
      </w:r>
      <w:r>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и сообщение об изменении сведений, содержащихся в ней, подлежат</w:t>
      </w:r>
      <w:r>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заполнению с применением функциональных возможностей специального</w:t>
      </w:r>
      <w:r>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программного обеспечения «Анкета ГС (МС)» или иных информационных</w:t>
      </w:r>
      <w:r>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систем.</w:t>
      </w:r>
    </w:p>
    <w:p w:rsidR="00AC3811" w:rsidRP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b/>
          <w:color w:val="000000" w:themeColor="text1"/>
          <w:sz w:val="28"/>
          <w:szCs w:val="28"/>
        </w:rPr>
        <w:t>Указ Президента Российской Федерации от 11.11.2024 № 966</w:t>
      </w:r>
      <w:r w:rsidRPr="00C43A7A">
        <w:rPr>
          <w:rFonts w:ascii="Times New Roman" w:eastAsia="Times New Roman" w:hAnsi="Times New Roman" w:cs="Times New Roman"/>
          <w:b/>
          <w:color w:val="000000" w:themeColor="text1"/>
          <w:sz w:val="28"/>
          <w:szCs w:val="28"/>
        </w:rPr>
        <w:t xml:space="preserve"> </w:t>
      </w:r>
      <w:r w:rsidR="00C43A7A">
        <w:rPr>
          <w:rFonts w:ascii="Times New Roman" w:eastAsia="Times New Roman" w:hAnsi="Times New Roman" w:cs="Times New Roman"/>
          <w:b/>
          <w:color w:val="000000" w:themeColor="text1"/>
          <w:sz w:val="28"/>
          <w:szCs w:val="28"/>
        </w:rPr>
        <w:br/>
      </w:r>
      <w:r w:rsidRPr="00C43A7A">
        <w:rPr>
          <w:rFonts w:ascii="Times New Roman" w:eastAsia="Times New Roman" w:hAnsi="Times New Roman" w:cs="Times New Roman"/>
          <w:b/>
          <w:color w:val="000000" w:themeColor="text1"/>
          <w:sz w:val="28"/>
          <w:szCs w:val="28"/>
        </w:rPr>
        <w:t>«О внесении изменений в Указ Президента Российской Федерации</w:t>
      </w:r>
      <w:r w:rsidRPr="00C43A7A">
        <w:rPr>
          <w:rFonts w:ascii="Times New Roman" w:eastAsia="Times New Roman" w:hAnsi="Times New Roman" w:cs="Times New Roman"/>
          <w:b/>
          <w:color w:val="000000" w:themeColor="text1"/>
          <w:sz w:val="28"/>
          <w:szCs w:val="28"/>
        </w:rPr>
        <w:t xml:space="preserve"> </w:t>
      </w:r>
      <w:r w:rsidR="00C43A7A">
        <w:rPr>
          <w:rFonts w:ascii="Times New Roman" w:eastAsia="Times New Roman" w:hAnsi="Times New Roman" w:cs="Times New Roman"/>
          <w:b/>
          <w:color w:val="000000" w:themeColor="text1"/>
          <w:sz w:val="28"/>
          <w:szCs w:val="28"/>
        </w:rPr>
        <w:br/>
      </w:r>
      <w:r w:rsidRPr="00C43A7A">
        <w:rPr>
          <w:rFonts w:ascii="Times New Roman" w:eastAsia="Times New Roman" w:hAnsi="Times New Roman" w:cs="Times New Roman"/>
          <w:b/>
          <w:color w:val="000000" w:themeColor="text1"/>
          <w:sz w:val="28"/>
          <w:szCs w:val="28"/>
        </w:rPr>
        <w:t>от 02.04.2013 № 309 «О мерах по реализации отдельных положений</w:t>
      </w:r>
      <w:r w:rsidR="00C43A7A" w:rsidRPr="00C43A7A">
        <w:rPr>
          <w:rFonts w:ascii="Times New Roman" w:eastAsia="Times New Roman" w:hAnsi="Times New Roman" w:cs="Times New Roman"/>
          <w:b/>
          <w:color w:val="000000" w:themeColor="text1"/>
          <w:sz w:val="28"/>
          <w:szCs w:val="28"/>
        </w:rPr>
        <w:t xml:space="preserve"> </w:t>
      </w:r>
      <w:r w:rsidRPr="00C43A7A">
        <w:rPr>
          <w:rFonts w:ascii="Times New Roman" w:eastAsia="Times New Roman" w:hAnsi="Times New Roman" w:cs="Times New Roman"/>
          <w:b/>
          <w:color w:val="000000" w:themeColor="text1"/>
          <w:sz w:val="28"/>
          <w:szCs w:val="28"/>
        </w:rPr>
        <w:t>Федерального закона «О противодействии коррупции»</w:t>
      </w:r>
      <w:r w:rsidR="00C22B39">
        <w:rPr>
          <w:rFonts w:ascii="Times New Roman" w:eastAsia="Times New Roman" w:hAnsi="Times New Roman" w:cs="Times New Roman"/>
          <w:b/>
          <w:color w:val="000000" w:themeColor="text1"/>
          <w:sz w:val="28"/>
          <w:szCs w:val="28"/>
        </w:rPr>
        <w:t>.</w:t>
      </w:r>
      <w:r w:rsidR="00C43A7A">
        <w:rPr>
          <w:rFonts w:ascii="Times New Roman" w:eastAsia="Times New Roman" w:hAnsi="Times New Roman" w:cs="Times New Roman"/>
          <w:b/>
          <w:color w:val="000000" w:themeColor="text1"/>
          <w:sz w:val="28"/>
          <w:szCs w:val="28"/>
        </w:rPr>
        <w:t xml:space="preserve"> </w:t>
      </w:r>
      <w:r w:rsidRPr="00AC3811">
        <w:rPr>
          <w:rFonts w:ascii="Times New Roman" w:eastAsia="Times New Roman" w:hAnsi="Times New Roman" w:cs="Times New Roman"/>
          <w:color w:val="000000" w:themeColor="text1"/>
          <w:sz w:val="28"/>
          <w:szCs w:val="28"/>
        </w:rPr>
        <w:t>Уточнен круг служащих Центрального банка Российской Федерации,</w:t>
      </w:r>
      <w:r w:rsidR="00C43A7A">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в отношении которых могут быть проведены антикоррупционные проверки.</w:t>
      </w:r>
    </w:p>
    <w:p w:rsid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AC3811">
        <w:rPr>
          <w:rFonts w:ascii="Times New Roman" w:eastAsia="Times New Roman" w:hAnsi="Times New Roman" w:cs="Times New Roman"/>
          <w:color w:val="000000" w:themeColor="text1"/>
          <w:sz w:val="28"/>
          <w:szCs w:val="28"/>
        </w:rPr>
        <w:t>Соответствующие изменения внесены в Указ Президента Российской</w:t>
      </w:r>
      <w:r w:rsidR="00C43A7A">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Федерации от 02.04.2013 № 309 «О мерах по реализации отдельных</w:t>
      </w:r>
      <w:r w:rsidR="00C43A7A">
        <w:rPr>
          <w:rFonts w:ascii="Times New Roman" w:eastAsia="Times New Roman" w:hAnsi="Times New Roman" w:cs="Times New Roman"/>
          <w:color w:val="000000" w:themeColor="text1"/>
          <w:sz w:val="28"/>
          <w:szCs w:val="28"/>
        </w:rPr>
        <w:t xml:space="preserve"> </w:t>
      </w:r>
      <w:r w:rsidRPr="00AC3811">
        <w:rPr>
          <w:rFonts w:ascii="Times New Roman" w:eastAsia="Times New Roman" w:hAnsi="Times New Roman" w:cs="Times New Roman"/>
          <w:color w:val="000000" w:themeColor="text1"/>
          <w:sz w:val="28"/>
          <w:szCs w:val="28"/>
        </w:rPr>
        <w:t>положений Федерального закона «О противодействии коррупции».</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b/>
          <w:color w:val="000000" w:themeColor="text1"/>
          <w:sz w:val="28"/>
          <w:szCs w:val="28"/>
        </w:rPr>
        <w:t>Методические рекомендации по вопросам представления сведений</w:t>
      </w:r>
      <w:r w:rsidRPr="00C43A7A">
        <w:rPr>
          <w:rFonts w:ascii="Times New Roman" w:eastAsia="Times New Roman" w:hAnsi="Times New Roman" w:cs="Times New Roman"/>
          <w:b/>
          <w:color w:val="000000" w:themeColor="text1"/>
          <w:sz w:val="28"/>
          <w:szCs w:val="28"/>
        </w:rPr>
        <w:t xml:space="preserve"> </w:t>
      </w:r>
      <w:r w:rsidRPr="00C43A7A">
        <w:rPr>
          <w:rFonts w:ascii="Times New Roman" w:eastAsia="Times New Roman" w:hAnsi="Times New Roman" w:cs="Times New Roman"/>
          <w:b/>
          <w:color w:val="000000" w:themeColor="text1"/>
          <w:sz w:val="28"/>
          <w:szCs w:val="28"/>
        </w:rPr>
        <w:t>о доходах, расходах, об имуществе и обязательствах имущественного</w:t>
      </w:r>
      <w:r w:rsidRPr="00C43A7A">
        <w:rPr>
          <w:rFonts w:ascii="Times New Roman" w:eastAsia="Times New Roman" w:hAnsi="Times New Roman" w:cs="Times New Roman"/>
          <w:b/>
          <w:color w:val="000000" w:themeColor="text1"/>
          <w:sz w:val="28"/>
          <w:szCs w:val="28"/>
        </w:rPr>
        <w:t xml:space="preserve"> </w:t>
      </w:r>
      <w:r w:rsidRPr="00C43A7A">
        <w:rPr>
          <w:rFonts w:ascii="Times New Roman" w:eastAsia="Times New Roman" w:hAnsi="Times New Roman" w:cs="Times New Roman"/>
          <w:b/>
          <w:color w:val="000000" w:themeColor="text1"/>
          <w:sz w:val="28"/>
          <w:szCs w:val="28"/>
        </w:rPr>
        <w:t>характера и заполнения соответствующей формы справки</w:t>
      </w:r>
      <w:r w:rsidRPr="00C43A7A">
        <w:rPr>
          <w:rFonts w:ascii="Times New Roman" w:eastAsia="Times New Roman" w:hAnsi="Times New Roman" w:cs="Times New Roman"/>
          <w:b/>
          <w:color w:val="000000" w:themeColor="text1"/>
          <w:sz w:val="28"/>
          <w:szCs w:val="28"/>
        </w:rPr>
        <w:t xml:space="preserve"> </w:t>
      </w:r>
      <w:r w:rsidRPr="00C43A7A">
        <w:rPr>
          <w:rFonts w:ascii="Times New Roman" w:eastAsia="Times New Roman" w:hAnsi="Times New Roman" w:cs="Times New Roman"/>
          <w:b/>
          <w:color w:val="000000" w:themeColor="text1"/>
          <w:sz w:val="28"/>
          <w:szCs w:val="28"/>
        </w:rPr>
        <w:t xml:space="preserve">в 2025 году </w:t>
      </w:r>
      <w:r>
        <w:rPr>
          <w:rFonts w:ascii="Times New Roman" w:eastAsia="Times New Roman" w:hAnsi="Times New Roman" w:cs="Times New Roman"/>
          <w:b/>
          <w:color w:val="000000" w:themeColor="text1"/>
          <w:sz w:val="28"/>
          <w:szCs w:val="28"/>
        </w:rPr>
        <w:br/>
      </w:r>
      <w:r w:rsidRPr="00C43A7A">
        <w:rPr>
          <w:rFonts w:ascii="Times New Roman" w:eastAsia="Times New Roman" w:hAnsi="Times New Roman" w:cs="Times New Roman"/>
          <w:b/>
          <w:color w:val="000000" w:themeColor="text1"/>
          <w:sz w:val="28"/>
          <w:szCs w:val="28"/>
        </w:rPr>
        <w:t>(за отчетный 2024 год)</w:t>
      </w:r>
      <w:r w:rsidRPr="00C43A7A">
        <w:rPr>
          <w:rFonts w:ascii="Times New Roman" w:eastAsia="Times New Roman" w:hAnsi="Times New Roman" w:cs="Times New Roman"/>
          <w:b/>
          <w:color w:val="000000" w:themeColor="text1"/>
          <w:sz w:val="28"/>
          <w:szCs w:val="28"/>
        </w:rPr>
        <w:t xml:space="preserve"> </w:t>
      </w:r>
      <w:r w:rsidRPr="00C43A7A">
        <w:rPr>
          <w:rFonts w:ascii="Times New Roman" w:eastAsia="Times New Roman" w:hAnsi="Times New Roman" w:cs="Times New Roman"/>
          <w:b/>
          <w:color w:val="000000" w:themeColor="text1"/>
          <w:sz w:val="28"/>
          <w:szCs w:val="28"/>
        </w:rPr>
        <w:t>(утверждены Минтрудом России)</w:t>
      </w:r>
      <w:r w:rsidR="00C22B39">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Pr="00C43A7A">
        <w:rPr>
          <w:rFonts w:ascii="Times New Roman" w:eastAsia="Times New Roman" w:hAnsi="Times New Roman" w:cs="Times New Roman"/>
          <w:color w:val="000000" w:themeColor="text1"/>
          <w:sz w:val="28"/>
          <w:szCs w:val="28"/>
        </w:rPr>
        <w:t>Министерством труда и социальной защиты Российской Федерации</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подготовлены методические рекомендации по вопросам представления</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сведений о доходах, расходах, об имуществе и обязательствах</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имущественного характера и заполнения соответствующей формы справки</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 xml:space="preserve">в 2025 году (за отчетный </w:t>
      </w:r>
      <w:r>
        <w:rPr>
          <w:rFonts w:ascii="Times New Roman" w:eastAsia="Times New Roman" w:hAnsi="Times New Roman" w:cs="Times New Roman"/>
          <w:color w:val="000000" w:themeColor="text1"/>
          <w:sz w:val="28"/>
          <w:szCs w:val="28"/>
        </w:rPr>
        <w:br/>
      </w:r>
      <w:r w:rsidRPr="00C43A7A">
        <w:rPr>
          <w:rFonts w:ascii="Times New Roman" w:eastAsia="Times New Roman" w:hAnsi="Times New Roman" w:cs="Times New Roman"/>
          <w:color w:val="000000" w:themeColor="text1"/>
          <w:sz w:val="28"/>
          <w:szCs w:val="28"/>
        </w:rPr>
        <w:t>2024 год).</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lastRenderedPageBreak/>
        <w:t>Методические рекомендации разработаны с целью разъяснения</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отдельных ситуаций, возникающих при заполнении справок о доходах,</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расходах, об имуществе и обязательствах имущественного характера.</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В рекомендациях, в частности, отражены особенности исполнения</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обязанностей, предусмотренных антикоррупционным законодательством,</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рекомендуемые действия при невозможности представить сведения о</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доходах вследствие не зависящих от служащего (работника) обстоятельств,</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порядок заполнения формы справки о доходах и пр.</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В Методических рекомендациях можно выделить следующие новеллы:</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 приведен перечень документов, на основании которых стоит заполнять</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 xml:space="preserve">справку (справка о доходах физического лица и сведения об имуществе </w:t>
      </w:r>
      <w:r>
        <w:rPr>
          <w:rFonts w:ascii="Times New Roman" w:eastAsia="Times New Roman" w:hAnsi="Times New Roman" w:cs="Times New Roman"/>
          <w:color w:val="000000" w:themeColor="text1"/>
          <w:sz w:val="28"/>
          <w:szCs w:val="28"/>
        </w:rPr>
        <w:br/>
      </w:r>
      <w:r w:rsidRPr="00C43A7A">
        <w:rPr>
          <w:rFonts w:ascii="Times New Roman" w:eastAsia="Times New Roman" w:hAnsi="Times New Roman" w:cs="Times New Roman"/>
          <w:color w:val="000000" w:themeColor="text1"/>
          <w:sz w:val="28"/>
          <w:szCs w:val="28"/>
        </w:rPr>
        <w:t>из</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личного кабинета налогоплательщика, выписка о движении денег по счету и</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др.);</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 появились правила отражения цифровой валюты, которую получили</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 xml:space="preserve">в результате </w:t>
      </w:r>
      <w:proofErr w:type="spellStart"/>
      <w:r w:rsidRPr="00C43A7A">
        <w:rPr>
          <w:rFonts w:ascii="Times New Roman" w:eastAsia="Times New Roman" w:hAnsi="Times New Roman" w:cs="Times New Roman"/>
          <w:color w:val="000000" w:themeColor="text1"/>
          <w:sz w:val="28"/>
          <w:szCs w:val="28"/>
        </w:rPr>
        <w:t>майнинга</w:t>
      </w:r>
      <w:proofErr w:type="spellEnd"/>
      <w:r w:rsidRPr="00C43A7A">
        <w:rPr>
          <w:rFonts w:ascii="Times New Roman" w:eastAsia="Times New Roman" w:hAnsi="Times New Roman" w:cs="Times New Roman"/>
          <w:color w:val="000000" w:themeColor="text1"/>
          <w:sz w:val="28"/>
          <w:szCs w:val="28"/>
        </w:rPr>
        <w:t>;</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 указано, что справку не может подписать иное лицо вместо служащего;</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 xml:space="preserve">- отмечено, что отзыв лицензии у кредитной организации </w:t>
      </w:r>
      <w:r>
        <w:rPr>
          <w:rFonts w:ascii="Times New Roman" w:eastAsia="Times New Roman" w:hAnsi="Times New Roman" w:cs="Times New Roman"/>
          <w:color w:val="000000" w:themeColor="text1"/>
          <w:sz w:val="28"/>
          <w:szCs w:val="28"/>
        </w:rPr>
        <w:br/>
      </w:r>
      <w:r w:rsidRPr="00C43A7A">
        <w:rPr>
          <w:rFonts w:ascii="Times New Roman" w:eastAsia="Times New Roman" w:hAnsi="Times New Roman" w:cs="Times New Roman"/>
          <w:color w:val="000000" w:themeColor="text1"/>
          <w:sz w:val="28"/>
          <w:szCs w:val="28"/>
        </w:rPr>
        <w:t>не</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предполагает закрытие счета, для получения информации о состоянии счета</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следует обращаться в кредитную организацию;</w:t>
      </w:r>
    </w:p>
    <w:p w:rsid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 разъяснено, что в случае реорганизации кредитной организации</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r>
      <w:r w:rsidRPr="00C43A7A">
        <w:rPr>
          <w:rFonts w:ascii="Times New Roman" w:eastAsia="Times New Roman" w:hAnsi="Times New Roman" w:cs="Times New Roman"/>
          <w:color w:val="000000" w:themeColor="text1"/>
          <w:sz w:val="28"/>
          <w:szCs w:val="28"/>
        </w:rPr>
        <w:t>в форме слияния, присоединения или преобразования следует обращаться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r>
      <w:r w:rsidRPr="00C43A7A">
        <w:rPr>
          <w:rFonts w:ascii="Times New Roman" w:eastAsia="Times New Roman" w:hAnsi="Times New Roman" w:cs="Times New Roman"/>
          <w:color w:val="000000" w:themeColor="text1"/>
          <w:sz w:val="28"/>
          <w:szCs w:val="28"/>
        </w:rPr>
        <w:t>в банк или кредитную организацию, созданную по результатам</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реорганизации.</w:t>
      </w:r>
    </w:p>
    <w:p w:rsid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b/>
          <w:color w:val="000000" w:themeColor="text1"/>
          <w:sz w:val="28"/>
          <w:szCs w:val="28"/>
        </w:rPr>
        <w:t>Федеральный закон от 28.12.2024 № 533-ФЗ</w:t>
      </w:r>
      <w:r w:rsidRPr="00C43A7A">
        <w:rPr>
          <w:rFonts w:ascii="Times New Roman" w:eastAsia="Times New Roman" w:hAnsi="Times New Roman" w:cs="Times New Roman"/>
          <w:b/>
          <w:color w:val="000000" w:themeColor="text1"/>
          <w:sz w:val="28"/>
          <w:szCs w:val="28"/>
        </w:rPr>
        <w:t xml:space="preserve"> </w:t>
      </w:r>
      <w:r w:rsidRPr="00C43A7A">
        <w:rPr>
          <w:rFonts w:ascii="Times New Roman" w:eastAsia="Times New Roman" w:hAnsi="Times New Roman" w:cs="Times New Roman"/>
          <w:b/>
          <w:color w:val="000000" w:themeColor="text1"/>
          <w:sz w:val="28"/>
          <w:szCs w:val="28"/>
        </w:rPr>
        <w:t>«О внесении изменений в отдельные законодательные</w:t>
      </w:r>
      <w:r w:rsidRPr="00C43A7A">
        <w:rPr>
          <w:rFonts w:ascii="Times New Roman" w:eastAsia="Times New Roman" w:hAnsi="Times New Roman" w:cs="Times New Roman"/>
          <w:b/>
          <w:color w:val="000000" w:themeColor="text1"/>
          <w:sz w:val="28"/>
          <w:szCs w:val="28"/>
        </w:rPr>
        <w:t xml:space="preserve"> </w:t>
      </w:r>
      <w:r w:rsidRPr="00C43A7A">
        <w:rPr>
          <w:rFonts w:ascii="Times New Roman" w:eastAsia="Times New Roman" w:hAnsi="Times New Roman" w:cs="Times New Roman"/>
          <w:b/>
          <w:color w:val="000000" w:themeColor="text1"/>
          <w:sz w:val="28"/>
          <w:szCs w:val="28"/>
        </w:rPr>
        <w:t>акты Российской Федерации»</w:t>
      </w:r>
      <w:r w:rsidR="00C22B39">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Федеральным законом внесены изменения в федеральные законы</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r>
      <w:r w:rsidRPr="00C43A7A">
        <w:rPr>
          <w:rFonts w:ascii="Times New Roman" w:eastAsia="Times New Roman" w:hAnsi="Times New Roman" w:cs="Times New Roman"/>
          <w:color w:val="000000" w:themeColor="text1"/>
          <w:sz w:val="28"/>
          <w:szCs w:val="28"/>
        </w:rPr>
        <w:t>от 22.04.1996 № 39-ФЗ «О рынке ценных бумаг», от 30.12.2004 № 218-ФЗ</w:t>
      </w:r>
      <w:r>
        <w:rPr>
          <w:rFonts w:ascii="Times New Roman" w:eastAsia="Times New Roman" w:hAnsi="Times New Roman" w:cs="Times New Roman"/>
          <w:color w:val="000000" w:themeColor="text1"/>
          <w:sz w:val="28"/>
          <w:szCs w:val="28"/>
        </w:rPr>
        <w:br/>
        <w:t xml:space="preserve"> </w:t>
      </w:r>
      <w:r w:rsidRPr="00C43A7A">
        <w:rPr>
          <w:rFonts w:ascii="Times New Roman" w:eastAsia="Times New Roman" w:hAnsi="Times New Roman" w:cs="Times New Roman"/>
          <w:color w:val="000000" w:themeColor="text1"/>
          <w:sz w:val="28"/>
          <w:szCs w:val="28"/>
        </w:rPr>
        <w:t>«О кредитных историях».</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Установлены правовые основы направления запросов должностными</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лицами, перечень которых определяется Президентом Российской</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Федерации, в целях исполнения ими обязанностей по противодействию</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коррупции и получения в ответ на них информации:</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 от держателей реестра владельцев ценных бумаг и депозитариев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r>
      <w:r w:rsidRPr="00C43A7A">
        <w:rPr>
          <w:rFonts w:ascii="Times New Roman" w:eastAsia="Times New Roman" w:hAnsi="Times New Roman" w:cs="Times New Roman"/>
          <w:color w:val="000000" w:themeColor="text1"/>
          <w:sz w:val="28"/>
          <w:szCs w:val="28"/>
        </w:rPr>
        <w:t>о ценных бумагах, принадлежащих лицам, в отношении которых направлен</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запрос;</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 от Центрального каталога кредитных историй – о бюро кредитных</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историй, в которых хранится кредитная история субъекта кредитной</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истории, в отношении которого направлен запрос;</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 от бюро кредитных историй – о титульной, основной,</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дополнительной (закрытой) и информационной частях кредитных историй.</w:t>
      </w:r>
    </w:p>
    <w:p w:rsidR="00C43A7A" w:rsidRP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Запросы о предоставлении информации из Центрального каталога</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кредитных историй направляются с использованием единой системы</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межведомственного электронного взаимодействия или государственной</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информационной системы в области противодействия коррупции</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«Посейдон», а при отсутствии технической возможности направления таких</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lastRenderedPageBreak/>
        <w:t>запросов в виде электронного сообщения – в виде документов на бумажном</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носителе посредством почтовой связи.</w:t>
      </w:r>
    </w:p>
    <w:p w:rsidR="00C43A7A"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color w:val="000000" w:themeColor="text1"/>
          <w:sz w:val="28"/>
          <w:szCs w:val="28"/>
        </w:rPr>
      </w:pPr>
      <w:r w:rsidRPr="00C43A7A">
        <w:rPr>
          <w:rFonts w:ascii="Times New Roman" w:eastAsia="Times New Roman" w:hAnsi="Times New Roman" w:cs="Times New Roman"/>
          <w:color w:val="000000" w:themeColor="text1"/>
          <w:sz w:val="28"/>
          <w:szCs w:val="28"/>
        </w:rPr>
        <w:t>Федеральный закон вступает в силу по истечении 180 дней после</w:t>
      </w:r>
      <w:r>
        <w:rPr>
          <w:rFonts w:ascii="Times New Roman" w:eastAsia="Times New Roman" w:hAnsi="Times New Roman" w:cs="Times New Roman"/>
          <w:color w:val="000000" w:themeColor="text1"/>
          <w:sz w:val="28"/>
          <w:szCs w:val="28"/>
        </w:rPr>
        <w:t xml:space="preserve"> </w:t>
      </w:r>
      <w:r w:rsidRPr="00C43A7A">
        <w:rPr>
          <w:rFonts w:ascii="Times New Roman" w:eastAsia="Times New Roman" w:hAnsi="Times New Roman" w:cs="Times New Roman"/>
          <w:color w:val="000000" w:themeColor="text1"/>
          <w:sz w:val="28"/>
          <w:szCs w:val="28"/>
        </w:rPr>
        <w:t>дня его официального опубликования.</w:t>
      </w:r>
    </w:p>
    <w:p w:rsidR="00AC3811" w:rsidRPr="00AC3811" w:rsidRDefault="00C22B39"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Постановлением от 31.10.2024 №</w:t>
      </w:r>
      <w:r w:rsidR="00AC3811" w:rsidRPr="00AC3811">
        <w:rPr>
          <w:rFonts w:ascii="Times New Roman" w:hAnsi="Times New Roman" w:cs="Times New Roman"/>
          <w:b/>
          <w:sz w:val="28"/>
          <w:szCs w:val="28"/>
        </w:rPr>
        <w:t xml:space="preserve"> 49-П Конституционный Суд РФ запретил применять предусмотренные ГК РФ сроки исковой давности </w:t>
      </w:r>
      <w:r>
        <w:rPr>
          <w:rFonts w:ascii="Times New Roman" w:hAnsi="Times New Roman" w:cs="Times New Roman"/>
          <w:b/>
          <w:sz w:val="28"/>
          <w:szCs w:val="28"/>
        </w:rPr>
        <w:br/>
      </w:r>
      <w:r w:rsidR="00AC3811" w:rsidRPr="00AC3811">
        <w:rPr>
          <w:rFonts w:ascii="Times New Roman" w:hAnsi="Times New Roman" w:cs="Times New Roman"/>
          <w:b/>
          <w:sz w:val="28"/>
          <w:szCs w:val="28"/>
        </w:rPr>
        <w:t>к искам прокуроров об обращении коррупционного имущества в доход государства</w:t>
      </w:r>
      <w:r>
        <w:rPr>
          <w:rFonts w:ascii="Times New Roman" w:hAnsi="Times New Roman" w:cs="Times New Roman"/>
          <w:b/>
          <w:sz w:val="28"/>
          <w:szCs w:val="28"/>
        </w:rPr>
        <w:t xml:space="preserve">. </w:t>
      </w:r>
      <w:r w:rsidR="00AC3811" w:rsidRPr="00AC3811">
        <w:rPr>
          <w:rFonts w:ascii="Times New Roman" w:hAnsi="Times New Roman" w:cs="Times New Roman"/>
          <w:sz w:val="28"/>
          <w:szCs w:val="28"/>
        </w:rPr>
        <w:t xml:space="preserve">Взаимосвязанные статьи 195, 196, пункт 1 статьи 197, пункт 1 и абзац второй пункта 2 статьи 200, абзац второй статьи 208 ГК РФ признаны не соответствующими Конституции и ее статьям в той мере, в какой судебное толкование позволяет рассматривать установленные ими общие трехлетний и десятилетний сроки исковой давности и правила их течения в качестве распространяющихся на требования прокуроров об обращении в доход РФ имущества как приобретенного вследствие нарушения лицом, занимающим или занимавшим публично значимую должность, требований и запретов, направленных на предотвращение коррупции, что не позволяет обеспечить учет особенностей деяний, в связи с которыми возникают основания для таких требований. Это касается в том числе и имущества, в которое первоначально приобретенное посредством коррупции имущество было частично или полностью </w:t>
      </w:r>
      <w:r w:rsidR="00AC3811" w:rsidRPr="00AC3811">
        <w:rPr>
          <w:rFonts w:ascii="Times New Roman" w:hAnsi="Times New Roman" w:cs="Times New Roman"/>
          <w:sz w:val="28"/>
          <w:szCs w:val="28"/>
        </w:rPr>
        <w:t>превращено,</w:t>
      </w:r>
      <w:r w:rsidR="00AC3811" w:rsidRPr="00AC3811">
        <w:rPr>
          <w:rFonts w:ascii="Times New Roman" w:hAnsi="Times New Roman" w:cs="Times New Roman"/>
          <w:sz w:val="28"/>
          <w:szCs w:val="28"/>
        </w:rPr>
        <w:t xml:space="preserve"> или преобразовано.</w:t>
      </w:r>
    </w:p>
    <w:p w:rsidR="00AC3811" w:rsidRP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AC3811">
        <w:rPr>
          <w:rFonts w:ascii="Times New Roman" w:hAnsi="Times New Roman" w:cs="Times New Roman"/>
          <w:sz w:val="28"/>
          <w:szCs w:val="28"/>
        </w:rPr>
        <w:t xml:space="preserve">В действующем законодательном регулировании какой-либо срок, ограничивающий возможность подачи прокурором искового заявления </w:t>
      </w:r>
      <w:r>
        <w:rPr>
          <w:rFonts w:ascii="Times New Roman" w:hAnsi="Times New Roman" w:cs="Times New Roman"/>
          <w:sz w:val="28"/>
          <w:szCs w:val="28"/>
        </w:rPr>
        <w:br/>
      </w:r>
      <w:r w:rsidRPr="00AC3811">
        <w:rPr>
          <w:rFonts w:ascii="Times New Roman" w:hAnsi="Times New Roman" w:cs="Times New Roman"/>
          <w:sz w:val="28"/>
          <w:szCs w:val="28"/>
        </w:rPr>
        <w:t>с требованиями об обращении в доход государства такого имущества, считается неустановленным.</w:t>
      </w:r>
    </w:p>
    <w:p w:rsidR="00AC3811" w:rsidRP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AC3811">
        <w:rPr>
          <w:rFonts w:ascii="Times New Roman" w:hAnsi="Times New Roman" w:cs="Times New Roman"/>
          <w:sz w:val="28"/>
          <w:szCs w:val="28"/>
        </w:rPr>
        <w:t xml:space="preserve">В данном случае федеральный законодатель вправе как внести изменения в действующее правовое регулирование, так и воздержаться </w:t>
      </w:r>
      <w:r>
        <w:rPr>
          <w:rFonts w:ascii="Times New Roman" w:hAnsi="Times New Roman" w:cs="Times New Roman"/>
          <w:sz w:val="28"/>
          <w:szCs w:val="28"/>
        </w:rPr>
        <w:br/>
      </w:r>
      <w:r w:rsidRPr="00AC3811">
        <w:rPr>
          <w:rFonts w:ascii="Times New Roman" w:hAnsi="Times New Roman" w:cs="Times New Roman"/>
          <w:sz w:val="28"/>
          <w:szCs w:val="28"/>
        </w:rPr>
        <w:t>от каких-либо нормативных изменений, поскольку наличие срока, ограничивающего возможность предъявления исковых заявлений прокуроров, не является необходимым в российской правовой системе.</w:t>
      </w:r>
    </w:p>
    <w:p w:rsidR="00AC3811" w:rsidRP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AC3811">
        <w:rPr>
          <w:rFonts w:ascii="Times New Roman" w:hAnsi="Times New Roman" w:cs="Times New Roman"/>
          <w:sz w:val="28"/>
          <w:szCs w:val="28"/>
        </w:rPr>
        <w:t>В случае установления федеральным законодателем срока (сроков) давности для требований прокурора об обращении коррупционного имущества в доход государства законодателю необходимо учитывать изложенную в Постановлении позицию Конституционного Суда, в частности: установить сроки, существенно превышающие уже имеющиеся сроки давности (три и десять лет); определить начало течения этих сроков (этого срока) со дня выявления прокурором фактов нарушения антикоррупционных требований и запретов и приобретения имущества вследствие этих нарушений; закрепить иные специальные правила течения срока давности и др. Также не должно допускаться применение такого срока (сроков) в случае противодействия ответчика выявлению прокурором обстоятельств нарушения антикоррупционных требований и запретов и формированию доказательственной базы для обращения в суд с исковым заявлением.</w:t>
      </w:r>
    </w:p>
    <w:p w:rsidR="009846BD"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AC3811">
        <w:rPr>
          <w:rFonts w:ascii="Times New Roman" w:hAnsi="Times New Roman" w:cs="Times New Roman"/>
          <w:sz w:val="28"/>
          <w:szCs w:val="28"/>
        </w:rPr>
        <w:t xml:space="preserve">Отмечено, что сделанный в настоящем Постановлении вывод относится только к исковым заявлениям прокуроров, содержащим требования </w:t>
      </w:r>
      <w:r w:rsidR="00C43A7A">
        <w:rPr>
          <w:rFonts w:ascii="Times New Roman" w:hAnsi="Times New Roman" w:cs="Times New Roman"/>
          <w:sz w:val="28"/>
          <w:szCs w:val="28"/>
        </w:rPr>
        <w:br/>
      </w:r>
      <w:r w:rsidRPr="00AC3811">
        <w:rPr>
          <w:rFonts w:ascii="Times New Roman" w:hAnsi="Times New Roman" w:cs="Times New Roman"/>
          <w:sz w:val="28"/>
          <w:szCs w:val="28"/>
        </w:rPr>
        <w:t xml:space="preserve">об обращении в доход РФ коррупционного имущества, и не может быть </w:t>
      </w:r>
      <w:r w:rsidRPr="00AC3811">
        <w:rPr>
          <w:rFonts w:ascii="Times New Roman" w:hAnsi="Times New Roman" w:cs="Times New Roman"/>
          <w:sz w:val="28"/>
          <w:szCs w:val="28"/>
        </w:rPr>
        <w:lastRenderedPageBreak/>
        <w:t>автоматически распространен на решение вопроса о применимости или неприменимости исковой давности к иным исковым заявлениям прокуроров, направленным на передачу имущества публично-правовым образованиям или признание их права на имущество, в том числе основанным на нарушении порядка приватизации.</w:t>
      </w:r>
    </w:p>
    <w:p w:rsidR="00AC3811" w:rsidRDefault="00AC3811" w:rsidP="00AC381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59088C2" wp14:editId="74DB6925">
            <wp:extent cx="4557834" cy="561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gz.jpg"/>
                    <pic:cNvPicPr/>
                  </pic:nvPicPr>
                  <pic:blipFill>
                    <a:blip r:embed="rId8">
                      <a:extLst>
                        <a:ext uri="{28A0092B-C50C-407E-A947-70E740481C1C}">
                          <a14:useLocalDpi xmlns:a14="http://schemas.microsoft.com/office/drawing/2010/main" val="0"/>
                        </a:ext>
                      </a:extLst>
                    </a:blip>
                    <a:stretch>
                      <a:fillRect/>
                    </a:stretch>
                  </pic:blipFill>
                  <pic:spPr>
                    <a:xfrm>
                      <a:off x="0" y="0"/>
                      <a:ext cx="4802841" cy="592184"/>
                    </a:xfrm>
                    <a:prstGeom prst="rect">
                      <a:avLst/>
                    </a:prstGeom>
                  </pic:spPr>
                </pic:pic>
              </a:graphicData>
            </a:graphic>
          </wp:inline>
        </w:drawing>
      </w:r>
    </w:p>
    <w:p w:rsidR="00DB7403" w:rsidRDefault="00DB7403" w:rsidP="00DB7403">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DB7403">
        <w:rPr>
          <w:rFonts w:ascii="Times New Roman" w:hAnsi="Times New Roman" w:cs="Times New Roman"/>
          <w:b/>
          <w:sz w:val="28"/>
          <w:szCs w:val="28"/>
        </w:rPr>
        <w:t>Постановление</w:t>
      </w:r>
      <w:r>
        <w:rPr>
          <w:rFonts w:ascii="Times New Roman" w:hAnsi="Times New Roman" w:cs="Times New Roman"/>
          <w:b/>
          <w:sz w:val="28"/>
          <w:szCs w:val="28"/>
        </w:rPr>
        <w:t xml:space="preserve"> губернатора Еврейской автономной области </w:t>
      </w:r>
      <w:r>
        <w:rPr>
          <w:rFonts w:ascii="Times New Roman" w:hAnsi="Times New Roman" w:cs="Times New Roman"/>
          <w:b/>
          <w:sz w:val="28"/>
          <w:szCs w:val="28"/>
        </w:rPr>
        <w:br/>
        <w:t>от 15.10.2024 №</w:t>
      </w:r>
      <w:r w:rsidRPr="00DB7403">
        <w:rPr>
          <w:rFonts w:ascii="Times New Roman" w:hAnsi="Times New Roman" w:cs="Times New Roman"/>
          <w:b/>
          <w:sz w:val="28"/>
          <w:szCs w:val="28"/>
        </w:rPr>
        <w:t xml:space="preserve"> 176</w:t>
      </w:r>
      <w:r>
        <w:rPr>
          <w:rFonts w:ascii="Times New Roman" w:hAnsi="Times New Roman" w:cs="Times New Roman"/>
          <w:b/>
          <w:sz w:val="28"/>
          <w:szCs w:val="28"/>
        </w:rPr>
        <w:t xml:space="preserve"> «</w:t>
      </w:r>
      <w:r w:rsidRPr="00DB7403">
        <w:rPr>
          <w:rFonts w:ascii="Times New Roman" w:hAnsi="Times New Roman" w:cs="Times New Roman"/>
          <w:b/>
          <w:sz w:val="28"/>
          <w:szCs w:val="28"/>
        </w:rPr>
        <w:t>О внесении дополнения в постановление губернатора Еврейской ав</w:t>
      </w:r>
      <w:r>
        <w:rPr>
          <w:rFonts w:ascii="Times New Roman" w:hAnsi="Times New Roman" w:cs="Times New Roman"/>
          <w:b/>
          <w:sz w:val="28"/>
          <w:szCs w:val="28"/>
        </w:rPr>
        <w:t>тономной области от 20.12.2013 № 388 «</w:t>
      </w:r>
      <w:r w:rsidRPr="00DB7403">
        <w:rPr>
          <w:rFonts w:ascii="Times New Roman" w:hAnsi="Times New Roman" w:cs="Times New Roman"/>
          <w:b/>
          <w:sz w:val="28"/>
          <w:szCs w:val="28"/>
        </w:rPr>
        <w:t xml:space="preserve">О проведении аттестации государственных гражданских служащих Еврейской автономной области, назначение на должность и освобождение </w:t>
      </w:r>
      <w:r>
        <w:rPr>
          <w:rFonts w:ascii="Times New Roman" w:hAnsi="Times New Roman" w:cs="Times New Roman"/>
          <w:b/>
          <w:sz w:val="28"/>
          <w:szCs w:val="28"/>
        </w:rPr>
        <w:br/>
      </w:r>
      <w:r w:rsidRPr="00DB7403">
        <w:rPr>
          <w:rFonts w:ascii="Times New Roman" w:hAnsi="Times New Roman" w:cs="Times New Roman"/>
          <w:b/>
          <w:sz w:val="28"/>
          <w:szCs w:val="28"/>
        </w:rPr>
        <w:t>от должности которых осуществляется губернатор</w:t>
      </w:r>
      <w:r>
        <w:rPr>
          <w:rFonts w:ascii="Times New Roman" w:hAnsi="Times New Roman" w:cs="Times New Roman"/>
          <w:b/>
          <w:sz w:val="28"/>
          <w:szCs w:val="28"/>
        </w:rPr>
        <w:t>ом Еврейской автономной области».</w:t>
      </w:r>
      <w:r>
        <w:rPr>
          <w:rFonts w:ascii="Times New Roman" w:hAnsi="Times New Roman" w:cs="Times New Roman"/>
          <w:sz w:val="28"/>
          <w:szCs w:val="28"/>
        </w:rPr>
        <w:t xml:space="preserve"> В состав членов </w:t>
      </w:r>
      <w:r w:rsidRPr="00DB7403">
        <w:rPr>
          <w:rFonts w:ascii="Times New Roman" w:hAnsi="Times New Roman" w:cs="Times New Roman"/>
          <w:sz w:val="28"/>
          <w:szCs w:val="28"/>
        </w:rPr>
        <w:t>комисси</w:t>
      </w:r>
      <w:r>
        <w:rPr>
          <w:rFonts w:ascii="Times New Roman" w:hAnsi="Times New Roman" w:cs="Times New Roman"/>
          <w:sz w:val="28"/>
          <w:szCs w:val="28"/>
        </w:rPr>
        <w:t>и</w:t>
      </w:r>
      <w:r w:rsidRPr="00DB7403">
        <w:rPr>
          <w:rFonts w:ascii="Times New Roman" w:hAnsi="Times New Roman" w:cs="Times New Roman"/>
          <w:sz w:val="28"/>
          <w:szCs w:val="28"/>
        </w:rPr>
        <w:t xml:space="preserve"> по проведению аттестации государственных гражданских служащих Еврейской автономной области, назначение на должность и освобождение от должности которых осуществляется губернатором Еврейской автономной области</w:t>
      </w:r>
      <w:r w:rsidR="00F258F7">
        <w:rPr>
          <w:rFonts w:ascii="Times New Roman" w:hAnsi="Times New Roman" w:cs="Times New Roman"/>
          <w:sz w:val="28"/>
          <w:szCs w:val="28"/>
        </w:rPr>
        <w:t xml:space="preserve"> включен </w:t>
      </w:r>
      <w:r w:rsidR="00F258F7" w:rsidRPr="00F258F7">
        <w:rPr>
          <w:rFonts w:ascii="Times New Roman" w:hAnsi="Times New Roman" w:cs="Times New Roman"/>
          <w:sz w:val="28"/>
          <w:szCs w:val="28"/>
        </w:rPr>
        <w:t>начальник управления по противодействию коррупции в Еврейской автономной области.</w:t>
      </w:r>
    </w:p>
    <w:p w:rsidR="00F258F7" w:rsidRDefault="00F258F7" w:rsidP="00F258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F258F7">
        <w:rPr>
          <w:rFonts w:ascii="Times New Roman" w:hAnsi="Times New Roman" w:cs="Times New Roman"/>
          <w:b/>
          <w:sz w:val="28"/>
          <w:szCs w:val="28"/>
        </w:rPr>
        <w:t>Постановление губернатора Е</w:t>
      </w:r>
      <w:r w:rsidRPr="00F258F7">
        <w:rPr>
          <w:rFonts w:ascii="Times New Roman" w:hAnsi="Times New Roman" w:cs="Times New Roman"/>
          <w:b/>
          <w:sz w:val="28"/>
          <w:szCs w:val="28"/>
        </w:rPr>
        <w:t>врейской автономной области</w:t>
      </w:r>
      <w:r w:rsidRPr="00F258F7">
        <w:rPr>
          <w:rFonts w:ascii="Times New Roman" w:hAnsi="Times New Roman" w:cs="Times New Roman"/>
          <w:b/>
          <w:sz w:val="28"/>
          <w:szCs w:val="28"/>
        </w:rPr>
        <w:t xml:space="preserve"> </w:t>
      </w:r>
      <w:r w:rsidRPr="00F258F7">
        <w:rPr>
          <w:rFonts w:ascii="Times New Roman" w:hAnsi="Times New Roman" w:cs="Times New Roman"/>
          <w:b/>
          <w:sz w:val="28"/>
          <w:szCs w:val="28"/>
        </w:rPr>
        <w:br/>
        <w:t>от 18.10.2024 №</w:t>
      </w:r>
      <w:r w:rsidRPr="00F258F7">
        <w:rPr>
          <w:rFonts w:ascii="Times New Roman" w:hAnsi="Times New Roman" w:cs="Times New Roman"/>
          <w:b/>
          <w:sz w:val="28"/>
          <w:szCs w:val="28"/>
        </w:rPr>
        <w:t xml:space="preserve"> 183</w:t>
      </w:r>
      <w:r w:rsidRPr="00F258F7">
        <w:rPr>
          <w:rFonts w:ascii="Times New Roman" w:hAnsi="Times New Roman" w:cs="Times New Roman"/>
          <w:b/>
          <w:sz w:val="28"/>
          <w:szCs w:val="28"/>
        </w:rPr>
        <w:t xml:space="preserve"> «</w:t>
      </w:r>
      <w:r w:rsidRPr="00F258F7">
        <w:rPr>
          <w:rFonts w:ascii="Times New Roman" w:hAnsi="Times New Roman" w:cs="Times New Roman"/>
          <w:b/>
          <w:sz w:val="28"/>
          <w:szCs w:val="28"/>
        </w:rPr>
        <w:t xml:space="preserve">О внесении изменений в Положение о комиссии </w:t>
      </w:r>
      <w:r w:rsidRPr="00F258F7">
        <w:rPr>
          <w:rFonts w:ascii="Times New Roman" w:hAnsi="Times New Roman" w:cs="Times New Roman"/>
          <w:b/>
          <w:sz w:val="28"/>
          <w:szCs w:val="28"/>
        </w:rPr>
        <w:br/>
      </w:r>
      <w:r w:rsidRPr="00F258F7">
        <w:rPr>
          <w:rFonts w:ascii="Times New Roman" w:hAnsi="Times New Roman" w:cs="Times New Roman"/>
          <w:b/>
          <w:sz w:val="28"/>
          <w:szCs w:val="28"/>
        </w:rPr>
        <w:t>по соблюдению требований к служебному поведению государственных гражданских служащих, замещающих должности государственной гражданской службы Еврейской автономной области, назначение на которые и освобождение от которых осуществляется губернатором Еврейской автономной области, и урегулированию конфликта интересов, утвержденное постановлением губернатора Еврейской автономн</w:t>
      </w:r>
      <w:r w:rsidRPr="00F258F7">
        <w:rPr>
          <w:rFonts w:ascii="Times New Roman" w:hAnsi="Times New Roman" w:cs="Times New Roman"/>
          <w:b/>
          <w:sz w:val="28"/>
          <w:szCs w:val="28"/>
        </w:rPr>
        <w:t>ой области от 06.08.2012 № 196 «</w:t>
      </w:r>
      <w:r w:rsidRPr="00F258F7">
        <w:rPr>
          <w:rFonts w:ascii="Times New Roman" w:hAnsi="Times New Roman" w:cs="Times New Roman"/>
          <w:b/>
          <w:sz w:val="28"/>
          <w:szCs w:val="28"/>
        </w:rPr>
        <w:t xml:space="preserve">О комиссии по соблюдению требований </w:t>
      </w:r>
      <w:r>
        <w:rPr>
          <w:rFonts w:ascii="Times New Roman" w:hAnsi="Times New Roman" w:cs="Times New Roman"/>
          <w:b/>
          <w:sz w:val="28"/>
          <w:szCs w:val="28"/>
        </w:rPr>
        <w:br/>
      </w:r>
      <w:r w:rsidRPr="00F258F7">
        <w:rPr>
          <w:rFonts w:ascii="Times New Roman" w:hAnsi="Times New Roman" w:cs="Times New Roman"/>
          <w:b/>
          <w:sz w:val="28"/>
          <w:szCs w:val="28"/>
        </w:rPr>
        <w:t>к служебному поведению государственных гражданских служащих, замещающих должности государственной гражданской службы Еврейской автономной области, назначение на которые и освобождение от которых осуществляется губернатором Еврейской автономной области, и уре</w:t>
      </w:r>
      <w:r w:rsidRPr="00F258F7">
        <w:rPr>
          <w:rFonts w:ascii="Times New Roman" w:hAnsi="Times New Roman" w:cs="Times New Roman"/>
          <w:b/>
          <w:sz w:val="28"/>
          <w:szCs w:val="28"/>
        </w:rPr>
        <w:t>гулированию конфликта интересов»</w:t>
      </w:r>
      <w:r>
        <w:rPr>
          <w:rFonts w:ascii="Times New Roman" w:hAnsi="Times New Roman" w:cs="Times New Roman"/>
          <w:b/>
          <w:sz w:val="28"/>
          <w:szCs w:val="28"/>
        </w:rPr>
        <w:t>.</w:t>
      </w:r>
      <w:r>
        <w:rPr>
          <w:rFonts w:ascii="Times New Roman" w:hAnsi="Times New Roman" w:cs="Times New Roman"/>
          <w:sz w:val="28"/>
          <w:szCs w:val="28"/>
        </w:rPr>
        <w:t xml:space="preserve"> </w:t>
      </w:r>
    </w:p>
    <w:p w:rsidR="00F258F7" w:rsidRDefault="00F258F7" w:rsidP="00F258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F258F7">
        <w:rPr>
          <w:rFonts w:ascii="Times New Roman" w:hAnsi="Times New Roman" w:cs="Times New Roman"/>
          <w:sz w:val="28"/>
          <w:szCs w:val="28"/>
        </w:rPr>
        <w:t>Основной задачей комиссии является содействие губернатору Еврейской автономной области</w:t>
      </w:r>
      <w:r>
        <w:rPr>
          <w:rFonts w:ascii="Times New Roman" w:hAnsi="Times New Roman" w:cs="Times New Roman"/>
          <w:sz w:val="28"/>
          <w:szCs w:val="28"/>
        </w:rPr>
        <w:t xml:space="preserve"> </w:t>
      </w:r>
      <w:r w:rsidRPr="00F258F7">
        <w:rPr>
          <w:rFonts w:ascii="Times New Roman" w:hAnsi="Times New Roman" w:cs="Times New Roman"/>
          <w:sz w:val="28"/>
          <w:szCs w:val="28"/>
        </w:rPr>
        <w:t xml:space="preserve">в обеспечении соблюдения государственными гражданскими служащими, замещающими должности государственной гражданской службы области, назначение на которые и освобождение </w:t>
      </w:r>
      <w:r>
        <w:rPr>
          <w:rFonts w:ascii="Times New Roman" w:hAnsi="Times New Roman" w:cs="Times New Roman"/>
          <w:sz w:val="28"/>
          <w:szCs w:val="28"/>
        </w:rPr>
        <w:br/>
      </w:r>
      <w:r w:rsidRPr="00F258F7">
        <w:rPr>
          <w:rFonts w:ascii="Times New Roman" w:hAnsi="Times New Roman" w:cs="Times New Roman"/>
          <w:sz w:val="28"/>
          <w:szCs w:val="28"/>
        </w:rPr>
        <w:t xml:space="preserve">от которых осуществляется губернатором области (далее - гражданские служащие), ограничений и запретов, требований о предотвращении или </w:t>
      </w:r>
      <w:r>
        <w:rPr>
          <w:rFonts w:ascii="Times New Roman" w:hAnsi="Times New Roman" w:cs="Times New Roman"/>
          <w:sz w:val="28"/>
          <w:szCs w:val="28"/>
        </w:rPr>
        <w:br/>
      </w:r>
      <w:r w:rsidRPr="00F258F7">
        <w:rPr>
          <w:rFonts w:ascii="Times New Roman" w:hAnsi="Times New Roman" w:cs="Times New Roman"/>
          <w:sz w:val="28"/>
          <w:szCs w:val="28"/>
        </w:rPr>
        <w:t>об урегулировании конфликта интересов, исполнения обязанностей, установленных Фед</w:t>
      </w:r>
      <w:r>
        <w:rPr>
          <w:rFonts w:ascii="Times New Roman" w:hAnsi="Times New Roman" w:cs="Times New Roman"/>
          <w:sz w:val="28"/>
          <w:szCs w:val="28"/>
        </w:rPr>
        <w:t>еральным законом от 25.12.2008 №</w:t>
      </w:r>
      <w:r w:rsidRPr="00F258F7">
        <w:rPr>
          <w:rFonts w:ascii="Times New Roman" w:hAnsi="Times New Roman" w:cs="Times New Roman"/>
          <w:sz w:val="28"/>
          <w:szCs w:val="28"/>
        </w:rPr>
        <w:t xml:space="preserve"> 273-ФЗ </w:t>
      </w:r>
      <w:r>
        <w:rPr>
          <w:rFonts w:ascii="Times New Roman" w:hAnsi="Times New Roman" w:cs="Times New Roman"/>
          <w:sz w:val="28"/>
          <w:szCs w:val="28"/>
        </w:rPr>
        <w:br/>
        <w:t>«</w:t>
      </w:r>
      <w:r w:rsidRPr="00F258F7">
        <w:rPr>
          <w:rFonts w:ascii="Times New Roman" w:hAnsi="Times New Roman" w:cs="Times New Roman"/>
          <w:sz w:val="28"/>
          <w:szCs w:val="28"/>
        </w:rPr>
        <w:t xml:space="preserve">О противодействии коррупции", другими федеральными законами, законами области, актами губернатора области в целях противодействия коррупции </w:t>
      </w:r>
      <w:r>
        <w:rPr>
          <w:rFonts w:ascii="Times New Roman" w:hAnsi="Times New Roman" w:cs="Times New Roman"/>
          <w:sz w:val="28"/>
          <w:szCs w:val="28"/>
        </w:rPr>
        <w:lastRenderedPageBreak/>
        <w:t>(далее –</w:t>
      </w:r>
      <w:r w:rsidRPr="00F258F7">
        <w:rPr>
          <w:rFonts w:ascii="Times New Roman" w:hAnsi="Times New Roman" w:cs="Times New Roman"/>
          <w:sz w:val="28"/>
          <w:szCs w:val="28"/>
        </w:rPr>
        <w:t xml:space="preserve"> требования к служебному поведению и (или) требования </w:t>
      </w:r>
      <w:r>
        <w:rPr>
          <w:rFonts w:ascii="Times New Roman" w:hAnsi="Times New Roman" w:cs="Times New Roman"/>
          <w:sz w:val="28"/>
          <w:szCs w:val="28"/>
        </w:rPr>
        <w:br/>
      </w:r>
      <w:r w:rsidRPr="00F258F7">
        <w:rPr>
          <w:rFonts w:ascii="Times New Roman" w:hAnsi="Times New Roman" w:cs="Times New Roman"/>
          <w:sz w:val="28"/>
          <w:szCs w:val="28"/>
        </w:rPr>
        <w:t>об урегулировании конфликта интересов)</w:t>
      </w:r>
      <w:r>
        <w:rPr>
          <w:rFonts w:ascii="Times New Roman" w:hAnsi="Times New Roman" w:cs="Times New Roman"/>
          <w:sz w:val="28"/>
          <w:szCs w:val="28"/>
        </w:rPr>
        <w:t>.</w:t>
      </w:r>
    </w:p>
    <w:p w:rsidR="00F258F7" w:rsidRDefault="00F258F7" w:rsidP="00F258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F258F7">
        <w:rPr>
          <w:rFonts w:ascii="Times New Roman" w:hAnsi="Times New Roman" w:cs="Times New Roman"/>
          <w:sz w:val="28"/>
          <w:szCs w:val="28"/>
        </w:rPr>
        <w:t xml:space="preserve">По итогам рассмотрения вопросов, указанных в подпунктах </w:t>
      </w:r>
      <w:r>
        <w:rPr>
          <w:rFonts w:ascii="Times New Roman" w:hAnsi="Times New Roman" w:cs="Times New Roman"/>
          <w:sz w:val="28"/>
          <w:szCs w:val="28"/>
        </w:rPr>
        <w:t>«</w:t>
      </w:r>
      <w:r w:rsidRPr="00F258F7">
        <w:rPr>
          <w:rFonts w:ascii="Times New Roman" w:hAnsi="Times New Roman" w:cs="Times New Roman"/>
          <w:sz w:val="28"/>
          <w:szCs w:val="28"/>
        </w:rPr>
        <w:t>а</w:t>
      </w:r>
      <w:r>
        <w:rPr>
          <w:rFonts w:ascii="Times New Roman" w:hAnsi="Times New Roman" w:cs="Times New Roman"/>
          <w:sz w:val="28"/>
          <w:szCs w:val="28"/>
        </w:rPr>
        <w:t>», «</w:t>
      </w:r>
      <w:r w:rsidRPr="00F258F7">
        <w:rPr>
          <w:rFonts w:ascii="Times New Roman" w:hAnsi="Times New Roman" w:cs="Times New Roman"/>
          <w:sz w:val="28"/>
          <w:szCs w:val="28"/>
        </w:rPr>
        <w:t>б</w:t>
      </w:r>
      <w:r>
        <w:rPr>
          <w:rFonts w:ascii="Times New Roman" w:hAnsi="Times New Roman" w:cs="Times New Roman"/>
          <w:sz w:val="28"/>
          <w:szCs w:val="28"/>
        </w:rPr>
        <w:t>», «</w:t>
      </w:r>
      <w:r w:rsidRPr="00F258F7">
        <w:rPr>
          <w:rFonts w:ascii="Times New Roman" w:hAnsi="Times New Roman" w:cs="Times New Roman"/>
          <w:sz w:val="28"/>
          <w:szCs w:val="28"/>
        </w:rPr>
        <w:t>г</w:t>
      </w:r>
      <w:r>
        <w:rPr>
          <w:rFonts w:ascii="Times New Roman" w:hAnsi="Times New Roman" w:cs="Times New Roman"/>
          <w:sz w:val="28"/>
          <w:szCs w:val="28"/>
        </w:rPr>
        <w:t>», «д»</w:t>
      </w:r>
      <w:r w:rsidRPr="00F258F7">
        <w:rPr>
          <w:rFonts w:ascii="Times New Roman" w:hAnsi="Times New Roman" w:cs="Times New Roman"/>
          <w:sz w:val="28"/>
          <w:szCs w:val="28"/>
        </w:rPr>
        <w:t xml:space="preserve"> и </w:t>
      </w:r>
      <w:r>
        <w:rPr>
          <w:rFonts w:ascii="Times New Roman" w:hAnsi="Times New Roman" w:cs="Times New Roman"/>
          <w:sz w:val="28"/>
          <w:szCs w:val="28"/>
        </w:rPr>
        <w:t>«</w:t>
      </w:r>
      <w:r w:rsidRPr="00F258F7">
        <w:rPr>
          <w:rFonts w:ascii="Times New Roman" w:hAnsi="Times New Roman" w:cs="Times New Roman"/>
          <w:sz w:val="28"/>
          <w:szCs w:val="28"/>
        </w:rPr>
        <w:t>ж</w:t>
      </w:r>
      <w:r>
        <w:rPr>
          <w:rFonts w:ascii="Times New Roman" w:hAnsi="Times New Roman" w:cs="Times New Roman"/>
          <w:sz w:val="28"/>
          <w:szCs w:val="28"/>
        </w:rPr>
        <w:t>»</w:t>
      </w:r>
      <w:r w:rsidRPr="00F258F7">
        <w:rPr>
          <w:rFonts w:ascii="Times New Roman" w:hAnsi="Times New Roman" w:cs="Times New Roman"/>
          <w:sz w:val="28"/>
          <w:szCs w:val="28"/>
        </w:rPr>
        <w:t xml:space="preserve"> пункта 12 настоящего Положения, и при наличии к тому оснований комиссия может принять иное решение, чем это предусмотрено пунктами 19 </w:t>
      </w:r>
      <w:r>
        <w:rPr>
          <w:rFonts w:ascii="Times New Roman" w:hAnsi="Times New Roman" w:cs="Times New Roman"/>
          <w:sz w:val="28"/>
          <w:szCs w:val="28"/>
        </w:rPr>
        <w:t>–</w:t>
      </w:r>
      <w:r w:rsidRPr="00F258F7">
        <w:rPr>
          <w:rFonts w:ascii="Times New Roman" w:hAnsi="Times New Roman" w:cs="Times New Roman"/>
          <w:sz w:val="28"/>
          <w:szCs w:val="28"/>
        </w:rPr>
        <w:t xml:space="preserve"> 22.4 и 23.1 настоящего Положения. Основания и мотивы принятия такого решения должны быть отражены в протоколе заседания комиссии</w:t>
      </w:r>
      <w:r>
        <w:rPr>
          <w:rFonts w:ascii="Times New Roman" w:hAnsi="Times New Roman" w:cs="Times New Roman"/>
          <w:sz w:val="28"/>
          <w:szCs w:val="28"/>
        </w:rPr>
        <w:t>.</w:t>
      </w:r>
    </w:p>
    <w:p w:rsidR="00F258F7" w:rsidRDefault="00F258F7" w:rsidP="00F258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B03703">
        <w:rPr>
          <w:rFonts w:ascii="Times New Roman" w:hAnsi="Times New Roman" w:cs="Times New Roman"/>
          <w:b/>
          <w:sz w:val="28"/>
          <w:szCs w:val="28"/>
        </w:rPr>
        <w:t>Постановление</w:t>
      </w:r>
      <w:r w:rsidRPr="00B03703">
        <w:rPr>
          <w:rFonts w:ascii="Times New Roman" w:hAnsi="Times New Roman" w:cs="Times New Roman"/>
          <w:b/>
          <w:sz w:val="28"/>
          <w:szCs w:val="28"/>
        </w:rPr>
        <w:t xml:space="preserve"> губернатора Еврейской автономной области </w:t>
      </w:r>
      <w:r w:rsidRPr="00B03703">
        <w:rPr>
          <w:rFonts w:ascii="Times New Roman" w:hAnsi="Times New Roman" w:cs="Times New Roman"/>
          <w:b/>
          <w:sz w:val="28"/>
          <w:szCs w:val="28"/>
        </w:rPr>
        <w:br/>
        <w:t>от 19.11.2024 №</w:t>
      </w:r>
      <w:r w:rsidRPr="00B03703">
        <w:rPr>
          <w:rFonts w:ascii="Times New Roman" w:hAnsi="Times New Roman" w:cs="Times New Roman"/>
          <w:b/>
          <w:sz w:val="28"/>
          <w:szCs w:val="28"/>
        </w:rPr>
        <w:t xml:space="preserve"> 194</w:t>
      </w:r>
      <w:r w:rsidRPr="00B03703">
        <w:rPr>
          <w:rFonts w:ascii="Times New Roman" w:hAnsi="Times New Roman" w:cs="Times New Roman"/>
          <w:b/>
          <w:sz w:val="28"/>
          <w:szCs w:val="28"/>
        </w:rPr>
        <w:t xml:space="preserve"> «</w:t>
      </w:r>
      <w:r w:rsidRPr="00B03703">
        <w:rPr>
          <w:rFonts w:ascii="Times New Roman" w:hAnsi="Times New Roman" w:cs="Times New Roman"/>
          <w:b/>
          <w:sz w:val="28"/>
          <w:szCs w:val="28"/>
        </w:rPr>
        <w:t>О внесении изменения в постановление губернатора Еврейской автономн</w:t>
      </w:r>
      <w:r w:rsidR="00B03703" w:rsidRPr="00B03703">
        <w:rPr>
          <w:rFonts w:ascii="Times New Roman" w:hAnsi="Times New Roman" w:cs="Times New Roman"/>
          <w:b/>
          <w:sz w:val="28"/>
          <w:szCs w:val="28"/>
        </w:rPr>
        <w:t>ой области от 16.04.2021 №</w:t>
      </w:r>
      <w:r w:rsidRPr="00B03703">
        <w:rPr>
          <w:rFonts w:ascii="Times New Roman" w:hAnsi="Times New Roman" w:cs="Times New Roman"/>
          <w:b/>
          <w:sz w:val="28"/>
          <w:szCs w:val="28"/>
        </w:rPr>
        <w:t xml:space="preserve"> 113 «</w:t>
      </w:r>
      <w:r w:rsidRPr="00B03703">
        <w:rPr>
          <w:rFonts w:ascii="Times New Roman" w:hAnsi="Times New Roman" w:cs="Times New Roman"/>
          <w:b/>
          <w:sz w:val="28"/>
          <w:szCs w:val="28"/>
        </w:rPr>
        <w:t xml:space="preserve">О наделении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w:t>
      </w:r>
      <w:r w:rsidRPr="00B03703">
        <w:rPr>
          <w:rFonts w:ascii="Times New Roman" w:hAnsi="Times New Roman" w:cs="Times New Roman"/>
          <w:b/>
          <w:sz w:val="28"/>
          <w:szCs w:val="28"/>
        </w:rPr>
        <w:t>целях противодействия коррупции».</w:t>
      </w:r>
      <w:r>
        <w:rPr>
          <w:rFonts w:ascii="Times New Roman" w:hAnsi="Times New Roman" w:cs="Times New Roman"/>
          <w:sz w:val="28"/>
          <w:szCs w:val="28"/>
        </w:rPr>
        <w:t xml:space="preserve"> </w:t>
      </w:r>
      <w:r w:rsidR="00B03703">
        <w:rPr>
          <w:rFonts w:ascii="Times New Roman" w:hAnsi="Times New Roman" w:cs="Times New Roman"/>
          <w:sz w:val="28"/>
          <w:szCs w:val="28"/>
        </w:rPr>
        <w:t>Исполняющий</w:t>
      </w:r>
      <w:r w:rsidR="00B03703" w:rsidRPr="00B03703">
        <w:rPr>
          <w:rFonts w:ascii="Times New Roman" w:hAnsi="Times New Roman" w:cs="Times New Roman"/>
          <w:sz w:val="28"/>
          <w:szCs w:val="28"/>
        </w:rPr>
        <w:t xml:space="preserve"> обязанности вице-губернатор</w:t>
      </w:r>
      <w:r w:rsidR="00B03703">
        <w:rPr>
          <w:rFonts w:ascii="Times New Roman" w:hAnsi="Times New Roman" w:cs="Times New Roman"/>
          <w:sz w:val="28"/>
          <w:szCs w:val="28"/>
        </w:rPr>
        <w:t>а Еврейской автономной области – первый заместитель</w:t>
      </w:r>
      <w:r w:rsidR="00B03703" w:rsidRPr="00B03703">
        <w:rPr>
          <w:rFonts w:ascii="Times New Roman" w:hAnsi="Times New Roman" w:cs="Times New Roman"/>
          <w:sz w:val="28"/>
          <w:szCs w:val="28"/>
        </w:rPr>
        <w:t xml:space="preserve"> председателя правительства Еврейской автономной области, исполняющи</w:t>
      </w:r>
      <w:r w:rsidR="00B03703">
        <w:rPr>
          <w:rFonts w:ascii="Times New Roman" w:hAnsi="Times New Roman" w:cs="Times New Roman"/>
          <w:sz w:val="28"/>
          <w:szCs w:val="28"/>
        </w:rPr>
        <w:t>е</w:t>
      </w:r>
      <w:r w:rsidR="00B03703" w:rsidRPr="00B03703">
        <w:rPr>
          <w:rFonts w:ascii="Times New Roman" w:hAnsi="Times New Roman" w:cs="Times New Roman"/>
          <w:sz w:val="28"/>
          <w:szCs w:val="28"/>
        </w:rPr>
        <w:t xml:space="preserve"> обязанности заместителей председателя правительства Еврейской автономной области </w:t>
      </w:r>
      <w:r w:rsidR="00B03703">
        <w:rPr>
          <w:rFonts w:ascii="Times New Roman" w:hAnsi="Times New Roman" w:cs="Times New Roman"/>
          <w:sz w:val="28"/>
          <w:szCs w:val="28"/>
        </w:rPr>
        <w:t xml:space="preserve">наделены </w:t>
      </w:r>
      <w:r w:rsidR="00B03703" w:rsidRPr="00B03703">
        <w:rPr>
          <w:rFonts w:ascii="Times New Roman" w:hAnsi="Times New Roman" w:cs="Times New Roman"/>
          <w:sz w:val="28"/>
          <w:szCs w:val="28"/>
        </w:rPr>
        <w:t>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w:t>
      </w:r>
      <w:r w:rsidR="00B03703">
        <w:rPr>
          <w:rFonts w:ascii="Times New Roman" w:hAnsi="Times New Roman" w:cs="Times New Roman"/>
          <w:sz w:val="28"/>
          <w:szCs w:val="28"/>
        </w:rPr>
        <w:t>лях противодействия коррупции.</w:t>
      </w:r>
    </w:p>
    <w:p w:rsidR="00E51A1E" w:rsidRPr="00E51A1E" w:rsidRDefault="00E51A1E" w:rsidP="00E51A1E">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E51A1E">
        <w:rPr>
          <w:rFonts w:ascii="Times New Roman" w:hAnsi="Times New Roman" w:cs="Times New Roman"/>
          <w:b/>
          <w:sz w:val="28"/>
          <w:szCs w:val="28"/>
        </w:rPr>
        <w:t>Постановление губернатора Еврейской автономной области</w:t>
      </w:r>
      <w:r w:rsidRPr="00E51A1E">
        <w:rPr>
          <w:rFonts w:ascii="Times New Roman" w:hAnsi="Times New Roman" w:cs="Times New Roman"/>
          <w:b/>
          <w:sz w:val="28"/>
          <w:szCs w:val="28"/>
        </w:rPr>
        <w:t xml:space="preserve"> </w:t>
      </w:r>
      <w:r w:rsidRPr="00E51A1E">
        <w:rPr>
          <w:rFonts w:ascii="Times New Roman" w:hAnsi="Times New Roman" w:cs="Times New Roman"/>
          <w:b/>
          <w:sz w:val="28"/>
          <w:szCs w:val="28"/>
        </w:rPr>
        <w:br/>
      </w:r>
      <w:r w:rsidRPr="00E51A1E">
        <w:rPr>
          <w:rFonts w:ascii="Times New Roman" w:hAnsi="Times New Roman" w:cs="Times New Roman"/>
          <w:b/>
          <w:sz w:val="28"/>
          <w:szCs w:val="28"/>
        </w:rPr>
        <w:t xml:space="preserve">от 28.12.2024 </w:t>
      </w:r>
      <w:r w:rsidRPr="00E51A1E">
        <w:rPr>
          <w:rFonts w:ascii="Times New Roman" w:hAnsi="Times New Roman" w:cs="Times New Roman"/>
          <w:b/>
          <w:sz w:val="28"/>
          <w:szCs w:val="28"/>
        </w:rPr>
        <w:t>№</w:t>
      </w:r>
      <w:r w:rsidRPr="00E51A1E">
        <w:rPr>
          <w:rFonts w:ascii="Times New Roman" w:hAnsi="Times New Roman" w:cs="Times New Roman"/>
          <w:b/>
          <w:sz w:val="28"/>
          <w:szCs w:val="28"/>
        </w:rPr>
        <w:t xml:space="preserve"> 248</w:t>
      </w:r>
      <w:r w:rsidRPr="00E51A1E">
        <w:rPr>
          <w:rFonts w:ascii="Times New Roman" w:hAnsi="Times New Roman" w:cs="Times New Roman"/>
          <w:b/>
          <w:sz w:val="28"/>
          <w:szCs w:val="28"/>
        </w:rPr>
        <w:t xml:space="preserve"> «</w:t>
      </w:r>
      <w:r w:rsidRPr="00E51A1E">
        <w:rPr>
          <w:rFonts w:ascii="Times New Roman" w:hAnsi="Times New Roman" w:cs="Times New Roman"/>
          <w:b/>
          <w:sz w:val="28"/>
          <w:szCs w:val="28"/>
        </w:rPr>
        <w:t xml:space="preserve">О внесении изменений и дополнений в Инструкцию </w:t>
      </w:r>
      <w:r w:rsidRPr="00E51A1E">
        <w:rPr>
          <w:rFonts w:ascii="Times New Roman" w:hAnsi="Times New Roman" w:cs="Times New Roman"/>
          <w:b/>
          <w:sz w:val="28"/>
          <w:szCs w:val="28"/>
        </w:rPr>
        <w:br/>
      </w:r>
      <w:r w:rsidRPr="00E51A1E">
        <w:rPr>
          <w:rFonts w:ascii="Times New Roman" w:hAnsi="Times New Roman" w:cs="Times New Roman"/>
          <w:b/>
          <w:sz w:val="28"/>
          <w:szCs w:val="28"/>
        </w:rPr>
        <w:t>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 формируемых правительством Еврейской автономной области, утвержденную постановлением губернатора Еврейской ав</w:t>
      </w:r>
      <w:r w:rsidRPr="00E51A1E">
        <w:rPr>
          <w:rFonts w:ascii="Times New Roman" w:hAnsi="Times New Roman" w:cs="Times New Roman"/>
          <w:b/>
          <w:sz w:val="28"/>
          <w:szCs w:val="28"/>
        </w:rPr>
        <w:t>тономной области от 28.09.2012 № 237».</w:t>
      </w:r>
      <w:r>
        <w:rPr>
          <w:rFonts w:ascii="Times New Roman" w:hAnsi="Times New Roman" w:cs="Times New Roman"/>
          <w:sz w:val="28"/>
          <w:szCs w:val="28"/>
        </w:rPr>
        <w:t xml:space="preserve"> </w:t>
      </w:r>
      <w:r w:rsidRPr="00E51A1E">
        <w:rPr>
          <w:rFonts w:ascii="Times New Roman" w:hAnsi="Times New Roman" w:cs="Times New Roman"/>
          <w:sz w:val="28"/>
          <w:szCs w:val="28"/>
        </w:rPr>
        <w:t xml:space="preserve">Проекты писем губернатора области, за исключением проектов писем по вопросам противодействия коррупции, проекты писем председателя правительства области визируются руководителем структурного подразделения аппарата или органа исполнительной власти области, подготовившего проект письма, согласовываются соответственно заместителем губернатора области, если вопросы, рассматриваемые в письме, относятся к его сфере деятельности, первым заместителем председателя правительства области, курирующим соответствующего заместителя председателя правительства области, заместителем председателя правительства области, курирующим соответствующую сферу деятельности, после чего передаются в управление контроля и документационного обеспечения губернатора области для проведения лингвистической экспертизы, по окончании которой проект </w:t>
      </w:r>
      <w:r w:rsidRPr="00E51A1E">
        <w:rPr>
          <w:rFonts w:ascii="Times New Roman" w:hAnsi="Times New Roman" w:cs="Times New Roman"/>
          <w:sz w:val="28"/>
          <w:szCs w:val="28"/>
        </w:rPr>
        <w:lastRenderedPageBreak/>
        <w:t>письма также визируется специалистом-лингвистом управления контроля и документационного обеспечения губернатора области. Проекты писем губернатора области по вопросам противодействия коррупции визируются начальником управления по противодействию коррупции в области.</w:t>
      </w:r>
    </w:p>
    <w:p w:rsidR="00B03703" w:rsidRDefault="00B03703" w:rsidP="00B03703">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B03703">
        <w:rPr>
          <w:rFonts w:ascii="Times New Roman" w:hAnsi="Times New Roman" w:cs="Times New Roman"/>
          <w:b/>
          <w:sz w:val="28"/>
          <w:szCs w:val="28"/>
        </w:rPr>
        <w:t xml:space="preserve">Постановление правительства </w:t>
      </w:r>
      <w:r w:rsidRPr="00B03703">
        <w:rPr>
          <w:rFonts w:ascii="Times New Roman" w:hAnsi="Times New Roman" w:cs="Times New Roman"/>
          <w:b/>
          <w:sz w:val="28"/>
          <w:szCs w:val="28"/>
        </w:rPr>
        <w:t xml:space="preserve">Еврейской автономной области </w:t>
      </w:r>
      <w:r w:rsidRPr="00B03703">
        <w:rPr>
          <w:rFonts w:ascii="Times New Roman" w:hAnsi="Times New Roman" w:cs="Times New Roman"/>
          <w:b/>
          <w:sz w:val="28"/>
          <w:szCs w:val="28"/>
        </w:rPr>
        <w:br/>
        <w:t>от 09.12.2024 №</w:t>
      </w:r>
      <w:r w:rsidRPr="00B03703">
        <w:rPr>
          <w:rFonts w:ascii="Times New Roman" w:hAnsi="Times New Roman" w:cs="Times New Roman"/>
          <w:b/>
          <w:sz w:val="28"/>
          <w:szCs w:val="28"/>
        </w:rPr>
        <w:t xml:space="preserve"> 487-пп</w:t>
      </w:r>
      <w:r w:rsidRPr="00B03703">
        <w:rPr>
          <w:rFonts w:ascii="Times New Roman" w:hAnsi="Times New Roman" w:cs="Times New Roman"/>
          <w:b/>
          <w:sz w:val="28"/>
          <w:szCs w:val="28"/>
        </w:rPr>
        <w:t xml:space="preserve"> «</w:t>
      </w:r>
      <w:r w:rsidRPr="00B03703">
        <w:rPr>
          <w:rFonts w:ascii="Times New Roman" w:hAnsi="Times New Roman" w:cs="Times New Roman"/>
          <w:b/>
          <w:sz w:val="28"/>
          <w:szCs w:val="28"/>
        </w:rPr>
        <w:t xml:space="preserve">О внесении изменений и дополнений </w:t>
      </w:r>
      <w:r w:rsidRPr="00B03703">
        <w:rPr>
          <w:rFonts w:ascii="Times New Roman" w:hAnsi="Times New Roman" w:cs="Times New Roman"/>
          <w:b/>
          <w:sz w:val="28"/>
          <w:szCs w:val="28"/>
        </w:rPr>
        <w:br/>
      </w:r>
      <w:r w:rsidRPr="00B03703">
        <w:rPr>
          <w:rFonts w:ascii="Times New Roman" w:hAnsi="Times New Roman" w:cs="Times New Roman"/>
          <w:b/>
          <w:sz w:val="28"/>
          <w:szCs w:val="28"/>
        </w:rPr>
        <w:t xml:space="preserve">в государственную программу Еврейской автономной области </w:t>
      </w:r>
      <w:r w:rsidRPr="00B03703">
        <w:rPr>
          <w:rFonts w:ascii="Times New Roman" w:hAnsi="Times New Roman" w:cs="Times New Roman"/>
          <w:b/>
          <w:sz w:val="28"/>
          <w:szCs w:val="28"/>
        </w:rPr>
        <w:t>«</w:t>
      </w:r>
      <w:r w:rsidRPr="00B03703">
        <w:rPr>
          <w:rFonts w:ascii="Times New Roman" w:hAnsi="Times New Roman" w:cs="Times New Roman"/>
          <w:b/>
          <w:sz w:val="28"/>
          <w:szCs w:val="28"/>
        </w:rPr>
        <w:t>Профилактика правонарушений и преступлений в Еврейской автономной области</w:t>
      </w:r>
      <w:r w:rsidRPr="00B03703">
        <w:rPr>
          <w:rFonts w:ascii="Times New Roman" w:hAnsi="Times New Roman" w:cs="Times New Roman"/>
          <w:b/>
          <w:sz w:val="28"/>
          <w:szCs w:val="28"/>
        </w:rPr>
        <w:t>»</w:t>
      </w:r>
      <w:r w:rsidRPr="00B03703">
        <w:rPr>
          <w:rFonts w:ascii="Times New Roman" w:hAnsi="Times New Roman" w:cs="Times New Roman"/>
          <w:b/>
          <w:sz w:val="28"/>
          <w:szCs w:val="28"/>
        </w:rPr>
        <w:t xml:space="preserve"> на </w:t>
      </w:r>
      <w:r w:rsidRPr="00B03703">
        <w:rPr>
          <w:rFonts w:ascii="Times New Roman" w:hAnsi="Times New Roman" w:cs="Times New Roman"/>
          <w:b/>
          <w:sz w:val="28"/>
          <w:szCs w:val="28"/>
        </w:rPr>
        <w:t>2024 –</w:t>
      </w:r>
      <w:r w:rsidRPr="00B03703">
        <w:rPr>
          <w:rFonts w:ascii="Times New Roman" w:hAnsi="Times New Roman" w:cs="Times New Roman"/>
          <w:b/>
          <w:sz w:val="28"/>
          <w:szCs w:val="28"/>
        </w:rPr>
        <w:t xml:space="preserve"> 2029 годы, утвержденную постановлением правительства Еврейской автономной области от 26.1</w:t>
      </w:r>
      <w:r w:rsidRPr="00B03703">
        <w:rPr>
          <w:rFonts w:ascii="Times New Roman" w:hAnsi="Times New Roman" w:cs="Times New Roman"/>
          <w:b/>
          <w:sz w:val="28"/>
          <w:szCs w:val="28"/>
        </w:rPr>
        <w:t>2.2023 № 598-пп».</w:t>
      </w:r>
      <w:r>
        <w:rPr>
          <w:rFonts w:ascii="Times New Roman" w:hAnsi="Times New Roman" w:cs="Times New Roman"/>
          <w:sz w:val="28"/>
          <w:szCs w:val="28"/>
        </w:rPr>
        <w:t xml:space="preserve"> Уточнено ф</w:t>
      </w:r>
      <w:r w:rsidRPr="00B03703">
        <w:rPr>
          <w:rFonts w:ascii="Times New Roman" w:hAnsi="Times New Roman" w:cs="Times New Roman"/>
          <w:sz w:val="28"/>
          <w:szCs w:val="28"/>
        </w:rPr>
        <w:t>инансовое обеспечение государственной программы</w:t>
      </w:r>
      <w:r w:rsidRPr="00B03703">
        <w:t xml:space="preserve"> </w:t>
      </w:r>
      <w:r>
        <w:t>«</w:t>
      </w:r>
      <w:r>
        <w:rPr>
          <w:rFonts w:ascii="Times New Roman" w:hAnsi="Times New Roman" w:cs="Times New Roman"/>
          <w:sz w:val="28"/>
          <w:szCs w:val="28"/>
        </w:rPr>
        <w:t>Противодействие коррупции»</w:t>
      </w:r>
      <w:r w:rsidRPr="00B03703">
        <w:rPr>
          <w:rFonts w:ascii="Times New Roman" w:hAnsi="Times New Roman" w:cs="Times New Roman"/>
          <w:sz w:val="28"/>
          <w:szCs w:val="28"/>
        </w:rPr>
        <w:t xml:space="preserve"> на 2024 </w:t>
      </w:r>
      <w:r>
        <w:rPr>
          <w:rFonts w:ascii="Times New Roman" w:hAnsi="Times New Roman" w:cs="Times New Roman"/>
          <w:sz w:val="28"/>
          <w:szCs w:val="28"/>
        </w:rPr>
        <w:t>–</w:t>
      </w:r>
      <w:r w:rsidRPr="00B03703">
        <w:rPr>
          <w:rFonts w:ascii="Times New Roman" w:hAnsi="Times New Roman" w:cs="Times New Roman"/>
          <w:sz w:val="28"/>
          <w:szCs w:val="28"/>
        </w:rPr>
        <w:t xml:space="preserve"> 2029 годы</w:t>
      </w:r>
      <w:r>
        <w:rPr>
          <w:rFonts w:ascii="Times New Roman" w:hAnsi="Times New Roman" w:cs="Times New Roman"/>
          <w:sz w:val="28"/>
          <w:szCs w:val="28"/>
        </w:rPr>
        <w:t>»</w:t>
      </w:r>
      <w:r w:rsidRPr="00B03703">
        <w:rPr>
          <w:rFonts w:ascii="Times New Roman" w:hAnsi="Times New Roman" w:cs="Times New Roman"/>
          <w:sz w:val="28"/>
          <w:szCs w:val="28"/>
        </w:rPr>
        <w:t xml:space="preserve"> за с</w:t>
      </w:r>
      <w:r>
        <w:rPr>
          <w:rFonts w:ascii="Times New Roman" w:hAnsi="Times New Roman" w:cs="Times New Roman"/>
          <w:sz w:val="28"/>
          <w:szCs w:val="28"/>
        </w:rPr>
        <w:t>чет средств областного бюджета.</w:t>
      </w:r>
    </w:p>
    <w:p w:rsidR="00B03703" w:rsidRDefault="00B03703" w:rsidP="00B03703">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E51A1E">
        <w:rPr>
          <w:rFonts w:ascii="Times New Roman" w:hAnsi="Times New Roman" w:cs="Times New Roman"/>
          <w:b/>
          <w:sz w:val="28"/>
          <w:szCs w:val="28"/>
        </w:rPr>
        <w:t>Постановление правительства Еврейской автономной области</w:t>
      </w:r>
      <w:r w:rsidRPr="00E51A1E">
        <w:rPr>
          <w:rFonts w:ascii="Times New Roman" w:hAnsi="Times New Roman" w:cs="Times New Roman"/>
          <w:b/>
          <w:sz w:val="28"/>
          <w:szCs w:val="28"/>
        </w:rPr>
        <w:t xml:space="preserve"> </w:t>
      </w:r>
      <w:r w:rsidRPr="00E51A1E">
        <w:rPr>
          <w:rFonts w:ascii="Times New Roman" w:hAnsi="Times New Roman" w:cs="Times New Roman"/>
          <w:b/>
          <w:sz w:val="28"/>
          <w:szCs w:val="28"/>
        </w:rPr>
        <w:br/>
        <w:t>от 19.12.2024 №</w:t>
      </w:r>
      <w:r w:rsidRPr="00E51A1E">
        <w:rPr>
          <w:rFonts w:ascii="Times New Roman" w:hAnsi="Times New Roman" w:cs="Times New Roman"/>
          <w:b/>
          <w:sz w:val="28"/>
          <w:szCs w:val="28"/>
        </w:rPr>
        <w:t xml:space="preserve"> 509-пп</w:t>
      </w:r>
      <w:r w:rsidRPr="00E51A1E">
        <w:rPr>
          <w:rFonts w:ascii="Times New Roman" w:hAnsi="Times New Roman" w:cs="Times New Roman"/>
          <w:b/>
          <w:sz w:val="28"/>
          <w:szCs w:val="28"/>
        </w:rPr>
        <w:t xml:space="preserve"> «</w:t>
      </w:r>
      <w:r w:rsidRPr="00E51A1E">
        <w:rPr>
          <w:rFonts w:ascii="Times New Roman" w:hAnsi="Times New Roman" w:cs="Times New Roman"/>
          <w:b/>
          <w:sz w:val="28"/>
          <w:szCs w:val="28"/>
        </w:rPr>
        <w:t xml:space="preserve">О внесении изменений в Стратегию социально-экономического развития Еврейской автономной области на период </w:t>
      </w:r>
      <w:r w:rsidRPr="00E51A1E">
        <w:rPr>
          <w:rFonts w:ascii="Times New Roman" w:hAnsi="Times New Roman" w:cs="Times New Roman"/>
          <w:b/>
          <w:sz w:val="28"/>
          <w:szCs w:val="28"/>
        </w:rPr>
        <w:br/>
      </w:r>
      <w:r w:rsidRPr="00E51A1E">
        <w:rPr>
          <w:rFonts w:ascii="Times New Roman" w:hAnsi="Times New Roman" w:cs="Times New Roman"/>
          <w:b/>
          <w:sz w:val="28"/>
          <w:szCs w:val="28"/>
        </w:rPr>
        <w:t>до 2030 года, утвержденную постановлением правительства Еврейской ав</w:t>
      </w:r>
      <w:r w:rsidRPr="00E51A1E">
        <w:rPr>
          <w:rFonts w:ascii="Times New Roman" w:hAnsi="Times New Roman" w:cs="Times New Roman"/>
          <w:b/>
          <w:sz w:val="28"/>
          <w:szCs w:val="28"/>
        </w:rPr>
        <w:t>тономной области от 15.11.2018 № 419-пп».</w:t>
      </w:r>
      <w:r>
        <w:rPr>
          <w:rFonts w:ascii="Times New Roman" w:hAnsi="Times New Roman" w:cs="Times New Roman"/>
          <w:sz w:val="28"/>
          <w:szCs w:val="28"/>
        </w:rPr>
        <w:t xml:space="preserve"> Предусмотрено увеличение количества </w:t>
      </w:r>
      <w:r w:rsidRPr="00B03703">
        <w:rPr>
          <w:rFonts w:ascii="Times New Roman" w:hAnsi="Times New Roman" w:cs="Times New Roman"/>
          <w:sz w:val="28"/>
          <w:szCs w:val="28"/>
        </w:rPr>
        <w:t xml:space="preserve">государственных гражданских служащих области, участвующих </w:t>
      </w:r>
      <w:r>
        <w:rPr>
          <w:rFonts w:ascii="Times New Roman" w:hAnsi="Times New Roman" w:cs="Times New Roman"/>
          <w:sz w:val="28"/>
          <w:szCs w:val="28"/>
        </w:rPr>
        <w:br/>
      </w:r>
      <w:r w:rsidRPr="00B03703">
        <w:rPr>
          <w:rFonts w:ascii="Times New Roman" w:hAnsi="Times New Roman" w:cs="Times New Roman"/>
          <w:sz w:val="28"/>
          <w:szCs w:val="28"/>
        </w:rPr>
        <w:t>в семинарах и тренингах по вопросам противодействия коррупции</w:t>
      </w:r>
      <w:r>
        <w:rPr>
          <w:rFonts w:ascii="Times New Roman" w:hAnsi="Times New Roman" w:cs="Times New Roman"/>
          <w:sz w:val="28"/>
          <w:szCs w:val="28"/>
        </w:rPr>
        <w:t xml:space="preserve"> до 100%.</w:t>
      </w:r>
    </w:p>
    <w:p w:rsidR="00E51A1E" w:rsidRDefault="00E51A1E" w:rsidP="00E51A1E">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E51A1E">
        <w:rPr>
          <w:rFonts w:ascii="Times New Roman" w:hAnsi="Times New Roman" w:cs="Times New Roman"/>
          <w:b/>
          <w:sz w:val="28"/>
          <w:szCs w:val="28"/>
        </w:rPr>
        <w:t xml:space="preserve">Распоряжение правительства </w:t>
      </w:r>
      <w:r w:rsidRPr="00E51A1E">
        <w:rPr>
          <w:rFonts w:ascii="Times New Roman" w:hAnsi="Times New Roman" w:cs="Times New Roman"/>
          <w:b/>
          <w:sz w:val="28"/>
          <w:szCs w:val="28"/>
        </w:rPr>
        <w:t>Еврейской автономной области</w:t>
      </w:r>
      <w:r w:rsidRPr="00E51A1E">
        <w:rPr>
          <w:rFonts w:ascii="Times New Roman" w:hAnsi="Times New Roman" w:cs="Times New Roman"/>
          <w:b/>
          <w:sz w:val="28"/>
          <w:szCs w:val="28"/>
        </w:rPr>
        <w:t xml:space="preserve"> </w:t>
      </w:r>
      <w:r w:rsidRPr="00E51A1E">
        <w:rPr>
          <w:rFonts w:ascii="Times New Roman" w:hAnsi="Times New Roman" w:cs="Times New Roman"/>
          <w:b/>
          <w:sz w:val="28"/>
          <w:szCs w:val="28"/>
        </w:rPr>
        <w:br/>
        <w:t>от 18.10.2024 №</w:t>
      </w:r>
      <w:r w:rsidRPr="00E51A1E">
        <w:rPr>
          <w:rFonts w:ascii="Times New Roman" w:hAnsi="Times New Roman" w:cs="Times New Roman"/>
          <w:b/>
          <w:sz w:val="28"/>
          <w:szCs w:val="28"/>
        </w:rPr>
        <w:t xml:space="preserve"> 420-рп</w:t>
      </w:r>
      <w:r w:rsidRPr="00E51A1E">
        <w:rPr>
          <w:rFonts w:ascii="Times New Roman" w:hAnsi="Times New Roman" w:cs="Times New Roman"/>
          <w:b/>
          <w:sz w:val="28"/>
          <w:szCs w:val="28"/>
        </w:rPr>
        <w:t xml:space="preserve"> «</w:t>
      </w:r>
      <w:r w:rsidRPr="00E51A1E">
        <w:rPr>
          <w:rFonts w:ascii="Times New Roman" w:hAnsi="Times New Roman" w:cs="Times New Roman"/>
          <w:b/>
          <w:sz w:val="28"/>
          <w:szCs w:val="28"/>
        </w:rPr>
        <w:t>Об утверждении графика мониторинга нормативных правовых актов Еврейской</w:t>
      </w:r>
      <w:r w:rsidRPr="00E51A1E">
        <w:rPr>
          <w:rFonts w:ascii="Times New Roman" w:hAnsi="Times New Roman" w:cs="Times New Roman"/>
          <w:b/>
          <w:sz w:val="28"/>
          <w:szCs w:val="28"/>
        </w:rPr>
        <w:t xml:space="preserve"> автономной области на 2025 год».</w:t>
      </w:r>
      <w:r>
        <w:rPr>
          <w:rFonts w:ascii="Times New Roman" w:hAnsi="Times New Roman" w:cs="Times New Roman"/>
          <w:sz w:val="28"/>
          <w:szCs w:val="28"/>
        </w:rPr>
        <w:t xml:space="preserve"> В соответствии с г</w:t>
      </w:r>
      <w:r w:rsidRPr="00E51A1E">
        <w:rPr>
          <w:rFonts w:ascii="Times New Roman" w:hAnsi="Times New Roman" w:cs="Times New Roman"/>
          <w:sz w:val="28"/>
          <w:szCs w:val="28"/>
        </w:rPr>
        <w:t>рафик</w:t>
      </w:r>
      <w:r>
        <w:rPr>
          <w:rFonts w:ascii="Times New Roman" w:hAnsi="Times New Roman" w:cs="Times New Roman"/>
          <w:sz w:val="28"/>
          <w:szCs w:val="28"/>
        </w:rPr>
        <w:t>ом</w:t>
      </w:r>
      <w:r w:rsidRPr="00E51A1E">
        <w:rPr>
          <w:rFonts w:ascii="Times New Roman" w:hAnsi="Times New Roman" w:cs="Times New Roman"/>
          <w:sz w:val="28"/>
          <w:szCs w:val="28"/>
        </w:rPr>
        <w:t xml:space="preserve"> мониторинга нормативных правовых актов Еврейской</w:t>
      </w:r>
      <w:r>
        <w:rPr>
          <w:rFonts w:ascii="Times New Roman" w:hAnsi="Times New Roman" w:cs="Times New Roman"/>
          <w:sz w:val="28"/>
          <w:szCs w:val="28"/>
        </w:rPr>
        <w:t xml:space="preserve"> автономной области на 2025 год </w:t>
      </w:r>
      <w:r w:rsidRPr="00E51A1E">
        <w:rPr>
          <w:rFonts w:ascii="Times New Roman" w:hAnsi="Times New Roman" w:cs="Times New Roman"/>
          <w:sz w:val="28"/>
          <w:szCs w:val="28"/>
        </w:rPr>
        <w:t>график мониторинга нормативных правовых актов Еврейской автономной области на 2025 год</w:t>
      </w:r>
      <w:r>
        <w:rPr>
          <w:rFonts w:ascii="Times New Roman" w:hAnsi="Times New Roman" w:cs="Times New Roman"/>
          <w:sz w:val="28"/>
          <w:szCs w:val="28"/>
        </w:rPr>
        <w:t xml:space="preserve"> у</w:t>
      </w:r>
      <w:r w:rsidRPr="00E51A1E">
        <w:rPr>
          <w:rFonts w:ascii="Times New Roman" w:hAnsi="Times New Roman" w:cs="Times New Roman"/>
          <w:sz w:val="28"/>
          <w:szCs w:val="28"/>
        </w:rPr>
        <w:t>правление</w:t>
      </w:r>
      <w:r>
        <w:rPr>
          <w:rFonts w:ascii="Times New Roman" w:hAnsi="Times New Roman" w:cs="Times New Roman"/>
          <w:sz w:val="28"/>
          <w:szCs w:val="28"/>
        </w:rPr>
        <w:t>м</w:t>
      </w:r>
      <w:r w:rsidRPr="00E51A1E">
        <w:rPr>
          <w:rFonts w:ascii="Times New Roman" w:hAnsi="Times New Roman" w:cs="Times New Roman"/>
          <w:sz w:val="28"/>
          <w:szCs w:val="28"/>
        </w:rPr>
        <w:t xml:space="preserve"> </w:t>
      </w:r>
      <w:r>
        <w:rPr>
          <w:rFonts w:ascii="Times New Roman" w:hAnsi="Times New Roman" w:cs="Times New Roman"/>
          <w:sz w:val="28"/>
          <w:szCs w:val="28"/>
        </w:rPr>
        <w:br/>
      </w:r>
      <w:r w:rsidRPr="00E51A1E">
        <w:rPr>
          <w:rFonts w:ascii="Times New Roman" w:hAnsi="Times New Roman" w:cs="Times New Roman"/>
          <w:sz w:val="28"/>
          <w:szCs w:val="28"/>
        </w:rPr>
        <w:t>по противодействию коррупции в Еврейской автономной области</w:t>
      </w:r>
      <w:r>
        <w:rPr>
          <w:rFonts w:ascii="Times New Roman" w:hAnsi="Times New Roman" w:cs="Times New Roman"/>
          <w:sz w:val="28"/>
          <w:szCs w:val="28"/>
        </w:rPr>
        <w:t xml:space="preserve"> в 1 квартале 2025 года будет осуществлен мониторинг законодательства, входящего </w:t>
      </w:r>
      <w:r>
        <w:rPr>
          <w:rFonts w:ascii="Times New Roman" w:hAnsi="Times New Roman" w:cs="Times New Roman"/>
          <w:sz w:val="28"/>
          <w:szCs w:val="28"/>
        </w:rPr>
        <w:br/>
        <w:t>в отрасль «</w:t>
      </w:r>
      <w:r w:rsidRPr="00E51A1E">
        <w:rPr>
          <w:rFonts w:ascii="Times New Roman" w:hAnsi="Times New Roman" w:cs="Times New Roman"/>
          <w:sz w:val="28"/>
          <w:szCs w:val="28"/>
        </w:rPr>
        <w:t>Законодательство в сфере противодействия коррупции</w:t>
      </w:r>
      <w:r>
        <w:rPr>
          <w:rFonts w:ascii="Times New Roman" w:hAnsi="Times New Roman" w:cs="Times New Roman"/>
          <w:sz w:val="28"/>
          <w:szCs w:val="28"/>
        </w:rPr>
        <w:t>».</w:t>
      </w:r>
    </w:p>
    <w:p w:rsidR="00AC3811" w:rsidRDefault="00C43A7A" w:rsidP="00C43A7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C22B39">
        <w:rPr>
          <w:rFonts w:ascii="Times New Roman" w:hAnsi="Times New Roman" w:cs="Times New Roman"/>
          <w:b/>
          <w:sz w:val="28"/>
          <w:szCs w:val="28"/>
        </w:rPr>
        <w:t>Приказ департамента социальной защ</w:t>
      </w:r>
      <w:r w:rsidRPr="00C22B39">
        <w:rPr>
          <w:rFonts w:ascii="Times New Roman" w:hAnsi="Times New Roman" w:cs="Times New Roman"/>
          <w:b/>
          <w:sz w:val="28"/>
          <w:szCs w:val="28"/>
        </w:rPr>
        <w:t xml:space="preserve">иты населения правительства Еврейской автономной области </w:t>
      </w:r>
      <w:r w:rsidR="00E51A1E">
        <w:rPr>
          <w:rFonts w:ascii="Times New Roman" w:hAnsi="Times New Roman" w:cs="Times New Roman"/>
          <w:b/>
          <w:sz w:val="28"/>
          <w:szCs w:val="28"/>
        </w:rPr>
        <w:t>от 09.10.2024 №</w:t>
      </w:r>
      <w:r w:rsidRPr="00C22B39">
        <w:rPr>
          <w:rFonts w:ascii="Times New Roman" w:hAnsi="Times New Roman" w:cs="Times New Roman"/>
          <w:b/>
          <w:sz w:val="28"/>
          <w:szCs w:val="28"/>
        </w:rPr>
        <w:t xml:space="preserve"> 2717/24</w:t>
      </w:r>
      <w:r w:rsidRPr="00C22B39">
        <w:rPr>
          <w:rFonts w:ascii="Times New Roman" w:hAnsi="Times New Roman" w:cs="Times New Roman"/>
          <w:b/>
          <w:sz w:val="28"/>
          <w:szCs w:val="28"/>
        </w:rPr>
        <w:t xml:space="preserve"> </w:t>
      </w:r>
      <w:r w:rsidR="00C22B39">
        <w:rPr>
          <w:rFonts w:ascii="Times New Roman" w:hAnsi="Times New Roman" w:cs="Times New Roman"/>
          <w:b/>
          <w:sz w:val="28"/>
          <w:szCs w:val="28"/>
        </w:rPr>
        <w:br/>
      </w:r>
      <w:r w:rsidRPr="00C22B39">
        <w:rPr>
          <w:rFonts w:ascii="Times New Roman" w:hAnsi="Times New Roman" w:cs="Times New Roman"/>
          <w:b/>
          <w:sz w:val="28"/>
          <w:szCs w:val="28"/>
        </w:rPr>
        <w:t>«</w:t>
      </w:r>
      <w:r w:rsidRPr="00C22B39">
        <w:rPr>
          <w:rFonts w:ascii="Times New Roman" w:hAnsi="Times New Roman" w:cs="Times New Roman"/>
          <w:b/>
          <w:sz w:val="28"/>
          <w:szCs w:val="28"/>
        </w:rPr>
        <w:t>О внесении изменений и дополнений в некоторые приказы департамента социальной защиты населения правительст</w:t>
      </w:r>
      <w:r w:rsidRPr="00C22B39">
        <w:rPr>
          <w:rFonts w:ascii="Times New Roman" w:hAnsi="Times New Roman" w:cs="Times New Roman"/>
          <w:b/>
          <w:sz w:val="28"/>
          <w:szCs w:val="28"/>
        </w:rPr>
        <w:t>ва Еврейской автономной области»</w:t>
      </w:r>
      <w:r w:rsidR="00C22B39" w:rsidRPr="00C22B39">
        <w:rPr>
          <w:rFonts w:ascii="Times New Roman" w:hAnsi="Times New Roman" w:cs="Times New Roman"/>
          <w:b/>
          <w:sz w:val="28"/>
          <w:szCs w:val="28"/>
        </w:rPr>
        <w:t>.</w:t>
      </w:r>
      <w:r w:rsidR="00C22B39">
        <w:rPr>
          <w:rFonts w:ascii="Times New Roman" w:hAnsi="Times New Roman" w:cs="Times New Roman"/>
          <w:sz w:val="28"/>
          <w:szCs w:val="28"/>
        </w:rPr>
        <w:t xml:space="preserve"> </w:t>
      </w:r>
      <w:r w:rsidR="00C22B39" w:rsidRPr="00C22B39">
        <w:rPr>
          <w:rFonts w:ascii="Times New Roman" w:hAnsi="Times New Roman" w:cs="Times New Roman"/>
          <w:sz w:val="28"/>
          <w:szCs w:val="28"/>
        </w:rPr>
        <w:t>По решению председателя комиссии заседание комиссии может проводиться дистанционно в режиме видео-конференц-связи (при наличии технической возможности)</w:t>
      </w:r>
      <w:r w:rsidR="00C22B39">
        <w:rPr>
          <w:rFonts w:ascii="Times New Roman" w:hAnsi="Times New Roman" w:cs="Times New Roman"/>
          <w:sz w:val="28"/>
          <w:szCs w:val="28"/>
        </w:rPr>
        <w:t>.</w:t>
      </w:r>
    </w:p>
    <w:p w:rsidR="00C22B39" w:rsidRDefault="00C22B39" w:rsidP="00C22B3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C22B39">
        <w:rPr>
          <w:rFonts w:ascii="Times New Roman" w:hAnsi="Times New Roman" w:cs="Times New Roman"/>
          <w:sz w:val="28"/>
          <w:szCs w:val="28"/>
        </w:rPr>
        <w:t>По решению председателя комиссии заседание комиссии может проводиться дистанционно в режиме видео-конференц-связи (при наличии технической возможности)</w:t>
      </w:r>
      <w:r>
        <w:rPr>
          <w:rFonts w:ascii="Times New Roman" w:hAnsi="Times New Roman" w:cs="Times New Roman"/>
          <w:sz w:val="28"/>
          <w:szCs w:val="28"/>
        </w:rPr>
        <w:t>.</w:t>
      </w:r>
    </w:p>
    <w:p w:rsidR="00AC3811" w:rsidRDefault="00C22B39" w:rsidP="00C22B3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w:t>
      </w:r>
      <w:r w:rsidRPr="00C22B39">
        <w:rPr>
          <w:rFonts w:ascii="Times New Roman" w:hAnsi="Times New Roman" w:cs="Times New Roman"/>
          <w:sz w:val="28"/>
          <w:szCs w:val="28"/>
        </w:rPr>
        <w:t>ля проведения заседания комиссии</w:t>
      </w:r>
      <w:r>
        <w:rPr>
          <w:rFonts w:ascii="Times New Roman" w:hAnsi="Times New Roman" w:cs="Times New Roman"/>
          <w:sz w:val="28"/>
          <w:szCs w:val="28"/>
        </w:rPr>
        <w:t xml:space="preserve"> является в том числе и </w:t>
      </w:r>
      <w:r w:rsidRPr="00C22B39">
        <w:rPr>
          <w:rFonts w:ascii="Times New Roman" w:hAnsi="Times New Roman" w:cs="Times New Roman"/>
          <w:sz w:val="28"/>
          <w:szCs w:val="28"/>
        </w:rPr>
        <w:t>уведомление гражданского служащего о возникновении независящих от него обстоятельств, препятствующих соблюдению требований к служебному поведению и (или) требований об урег</w:t>
      </w:r>
      <w:r>
        <w:rPr>
          <w:rFonts w:ascii="Times New Roman" w:hAnsi="Times New Roman" w:cs="Times New Roman"/>
          <w:sz w:val="28"/>
          <w:szCs w:val="28"/>
        </w:rPr>
        <w:t>улировании конфликта интересов.</w:t>
      </w:r>
    </w:p>
    <w:p w:rsidR="00C22B39" w:rsidRPr="00C22B39" w:rsidRDefault="00C22B39" w:rsidP="00C22B3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C22B39">
        <w:rPr>
          <w:rFonts w:ascii="Times New Roman" w:hAnsi="Times New Roman" w:cs="Times New Roman"/>
          <w:sz w:val="28"/>
          <w:szCs w:val="28"/>
        </w:rPr>
        <w:t xml:space="preserve">Заседание комиссии проводится, как правило, в присутствии государственного служащего, в отношении которого рассматривается вопрос </w:t>
      </w:r>
      <w:r w:rsidRPr="00C22B39">
        <w:rPr>
          <w:rFonts w:ascii="Times New Roman" w:hAnsi="Times New Roman" w:cs="Times New Roman"/>
          <w:sz w:val="28"/>
          <w:szCs w:val="28"/>
        </w:rPr>
        <w:lastRenderedPageBreak/>
        <w:t>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w:t>
      </w:r>
    </w:p>
    <w:p w:rsidR="00C22B39" w:rsidRDefault="00C22B39" w:rsidP="00C22B3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C22B39">
        <w:rPr>
          <w:rFonts w:ascii="Times New Roman" w:hAnsi="Times New Roman" w:cs="Times New Roman"/>
          <w:sz w:val="28"/>
          <w:szCs w:val="28"/>
        </w:rPr>
        <w:t>О намерении лично присутствовать на заседании комиссии государственный служащий или гражданин указывает в обращении, заявлении или уведомлении</w:t>
      </w:r>
      <w:r>
        <w:rPr>
          <w:rFonts w:ascii="Times New Roman" w:hAnsi="Times New Roman" w:cs="Times New Roman"/>
          <w:sz w:val="28"/>
          <w:szCs w:val="28"/>
        </w:rPr>
        <w:t>.</w:t>
      </w:r>
    </w:p>
    <w:p w:rsidR="00C22B39" w:rsidRPr="00C22B39" w:rsidRDefault="00C22B39" w:rsidP="00C22B3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C22B39">
        <w:rPr>
          <w:rFonts w:ascii="Times New Roman" w:hAnsi="Times New Roman" w:cs="Times New Roman"/>
          <w:sz w:val="28"/>
          <w:szCs w:val="28"/>
        </w:rPr>
        <w:t>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w:t>
      </w:r>
    </w:p>
    <w:p w:rsidR="00C22B39" w:rsidRPr="00C22B39" w:rsidRDefault="00C22B39" w:rsidP="00C22B3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C22B39">
        <w:rPr>
          <w:rFonts w:ascii="Times New Roman" w:hAnsi="Times New Roman" w:cs="Times New Roman"/>
          <w:sz w:val="28"/>
          <w:szCs w:val="28"/>
        </w:rPr>
        <w:t>О намерении лично присутствовать на заседании комиссии государственный служащий или гражданин указывает в обращении, заявлении или уведомлении</w:t>
      </w:r>
    </w:p>
    <w:p w:rsidR="00C22B39" w:rsidRPr="00C22B39" w:rsidRDefault="00C22B39" w:rsidP="00C22B3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C22B39">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уведомления</w:t>
      </w:r>
      <w:r w:rsidRPr="00C22B39">
        <w:rPr>
          <w:rFonts w:ascii="Times New Roman" w:hAnsi="Times New Roman" w:cs="Times New Roman"/>
          <w:sz w:val="28"/>
          <w:szCs w:val="28"/>
        </w:rPr>
        <w:t xml:space="preserve"> гражданского служащего </w:t>
      </w:r>
      <w:r>
        <w:rPr>
          <w:rFonts w:ascii="Times New Roman" w:hAnsi="Times New Roman" w:cs="Times New Roman"/>
          <w:sz w:val="28"/>
          <w:szCs w:val="28"/>
        </w:rPr>
        <w:br/>
      </w:r>
      <w:r w:rsidRPr="00C22B39">
        <w:rPr>
          <w:rFonts w:ascii="Times New Roman" w:hAnsi="Times New Roman" w:cs="Times New Roman"/>
          <w:sz w:val="28"/>
          <w:szCs w:val="28"/>
        </w:rPr>
        <w:t xml:space="preserve">о возникновении независящих от него обстоятельств, препятствующих соблюдению требований к служебному поведению и (или) требований </w:t>
      </w:r>
      <w:r>
        <w:rPr>
          <w:rFonts w:ascii="Times New Roman" w:hAnsi="Times New Roman" w:cs="Times New Roman"/>
          <w:sz w:val="28"/>
          <w:szCs w:val="28"/>
        </w:rPr>
        <w:br/>
      </w:r>
      <w:r w:rsidRPr="00C22B39">
        <w:rPr>
          <w:rFonts w:ascii="Times New Roman" w:hAnsi="Times New Roman" w:cs="Times New Roman"/>
          <w:sz w:val="28"/>
          <w:szCs w:val="28"/>
        </w:rPr>
        <w:t>об урегулировании конфликта интересов.</w:t>
      </w:r>
      <w:r w:rsidRPr="00C22B39">
        <w:rPr>
          <w:rFonts w:ascii="Times New Roman" w:hAnsi="Times New Roman" w:cs="Times New Roman"/>
          <w:sz w:val="28"/>
          <w:szCs w:val="28"/>
        </w:rPr>
        <w:t>, комиссия принимает одно из следующих решений:</w:t>
      </w:r>
    </w:p>
    <w:p w:rsidR="00C22B39" w:rsidRPr="00C22B39" w:rsidRDefault="00C22B39" w:rsidP="00C22B3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C22B39">
        <w:rPr>
          <w:rFonts w:ascii="Times New Roman" w:hAnsi="Times New Roman" w:cs="Times New Roman"/>
          <w:sz w:val="28"/>
          <w:szCs w:val="28"/>
        </w:rPr>
        <w:t>а) признать наличие причинно-следственной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22B39" w:rsidRDefault="00C22B39" w:rsidP="00C22B3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C22B39">
        <w:rPr>
          <w:rFonts w:ascii="Times New Roman" w:hAnsi="Times New Roman" w:cs="Times New Roman"/>
          <w:sz w:val="28"/>
          <w:szCs w:val="28"/>
        </w:rPr>
        <w:t>б) признать отсутствие причинно-следственной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DB7403" w:rsidRPr="00E51A1E" w:rsidRDefault="00F258F7" w:rsidP="00F258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b/>
          <w:sz w:val="28"/>
          <w:szCs w:val="28"/>
        </w:rPr>
      </w:pPr>
      <w:r w:rsidRPr="00E51A1E">
        <w:rPr>
          <w:rFonts w:ascii="Times New Roman" w:hAnsi="Times New Roman" w:cs="Times New Roman"/>
          <w:b/>
          <w:sz w:val="28"/>
          <w:szCs w:val="28"/>
        </w:rPr>
        <w:t>Приказ департамента социальной защ</w:t>
      </w:r>
      <w:r w:rsidRPr="00E51A1E">
        <w:rPr>
          <w:rFonts w:ascii="Times New Roman" w:hAnsi="Times New Roman" w:cs="Times New Roman"/>
          <w:b/>
          <w:sz w:val="28"/>
          <w:szCs w:val="28"/>
        </w:rPr>
        <w:t xml:space="preserve">иты населения правительства Еврейской автономной области </w:t>
      </w:r>
      <w:r w:rsidRPr="00E51A1E">
        <w:rPr>
          <w:rFonts w:ascii="Times New Roman" w:hAnsi="Times New Roman" w:cs="Times New Roman"/>
          <w:b/>
          <w:sz w:val="28"/>
          <w:szCs w:val="28"/>
        </w:rPr>
        <w:t xml:space="preserve">от 29.10.2024 </w:t>
      </w:r>
      <w:r w:rsidRPr="00E51A1E">
        <w:rPr>
          <w:rFonts w:ascii="Times New Roman" w:hAnsi="Times New Roman" w:cs="Times New Roman"/>
          <w:b/>
          <w:sz w:val="28"/>
          <w:szCs w:val="28"/>
        </w:rPr>
        <w:t>№</w:t>
      </w:r>
      <w:r w:rsidRPr="00E51A1E">
        <w:rPr>
          <w:rFonts w:ascii="Times New Roman" w:hAnsi="Times New Roman" w:cs="Times New Roman"/>
          <w:b/>
          <w:sz w:val="28"/>
          <w:szCs w:val="28"/>
        </w:rPr>
        <w:t xml:space="preserve"> 2941/24</w:t>
      </w:r>
      <w:r w:rsidRPr="00E51A1E">
        <w:rPr>
          <w:rFonts w:ascii="Times New Roman" w:hAnsi="Times New Roman" w:cs="Times New Roman"/>
          <w:b/>
          <w:sz w:val="28"/>
          <w:szCs w:val="28"/>
        </w:rPr>
        <w:t xml:space="preserve"> </w:t>
      </w:r>
      <w:r w:rsidR="00112D37">
        <w:rPr>
          <w:rFonts w:ascii="Times New Roman" w:hAnsi="Times New Roman" w:cs="Times New Roman"/>
          <w:b/>
          <w:sz w:val="28"/>
          <w:szCs w:val="28"/>
        </w:rPr>
        <w:br/>
      </w:r>
      <w:r w:rsidRPr="00E51A1E">
        <w:rPr>
          <w:rFonts w:ascii="Times New Roman" w:hAnsi="Times New Roman" w:cs="Times New Roman"/>
          <w:b/>
          <w:sz w:val="28"/>
          <w:szCs w:val="28"/>
        </w:rPr>
        <w:t>«</w:t>
      </w:r>
      <w:r w:rsidRPr="00E51A1E">
        <w:rPr>
          <w:rFonts w:ascii="Times New Roman" w:hAnsi="Times New Roman" w:cs="Times New Roman"/>
          <w:b/>
          <w:sz w:val="28"/>
          <w:szCs w:val="28"/>
        </w:rPr>
        <w:t>О внесении изменений в Положение 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в департаменте социальной защиты населения правительства Еврейской автономной области, за исключением государственных гражданских служащих Еврейской автономной области, назначение на должность которых осуществляет губернатор Еврейской автономной области, и урегулированию конфликта интересов, утвержденное приказом департамента социальной защиты населения правительства Еврейской ав</w:t>
      </w:r>
      <w:r w:rsidRPr="00E51A1E">
        <w:rPr>
          <w:rFonts w:ascii="Times New Roman" w:hAnsi="Times New Roman" w:cs="Times New Roman"/>
          <w:b/>
          <w:sz w:val="28"/>
          <w:szCs w:val="28"/>
        </w:rPr>
        <w:t>тономной области от 29.08.2022 № 2276 «</w:t>
      </w:r>
      <w:r w:rsidRPr="00E51A1E">
        <w:rPr>
          <w:rFonts w:ascii="Times New Roman" w:hAnsi="Times New Roman" w:cs="Times New Roman"/>
          <w:b/>
          <w:sz w:val="28"/>
          <w:szCs w:val="28"/>
        </w:rPr>
        <w:t xml:space="preserve">О комиссии </w:t>
      </w:r>
      <w:r w:rsidR="00112D37">
        <w:rPr>
          <w:rFonts w:ascii="Times New Roman" w:hAnsi="Times New Roman" w:cs="Times New Roman"/>
          <w:b/>
          <w:sz w:val="28"/>
          <w:szCs w:val="28"/>
        </w:rPr>
        <w:br/>
      </w:r>
      <w:r w:rsidRPr="00E51A1E">
        <w:rPr>
          <w:rFonts w:ascii="Times New Roman" w:hAnsi="Times New Roman" w:cs="Times New Roman"/>
          <w:b/>
          <w:sz w:val="28"/>
          <w:szCs w:val="28"/>
        </w:rPr>
        <w:t xml:space="preserve">по соблюдению требований к служебному поведению государственных гражданских служащих, замещающих должности государственной гражданской службы в департаменте социальной защиты населения правительства Еврейской автономной области, за исключением государственных гражданских служащих Еврейской автономной области, назначение на должность которых осуществляет губернатор </w:t>
      </w:r>
      <w:r w:rsidRPr="00E51A1E">
        <w:rPr>
          <w:rFonts w:ascii="Times New Roman" w:hAnsi="Times New Roman" w:cs="Times New Roman"/>
          <w:b/>
          <w:sz w:val="28"/>
          <w:szCs w:val="28"/>
        </w:rPr>
        <w:lastRenderedPageBreak/>
        <w:t>Еврейской автономной области, и уре</w:t>
      </w:r>
      <w:r w:rsidRPr="00E51A1E">
        <w:rPr>
          <w:rFonts w:ascii="Times New Roman" w:hAnsi="Times New Roman" w:cs="Times New Roman"/>
          <w:b/>
          <w:sz w:val="28"/>
          <w:szCs w:val="28"/>
        </w:rPr>
        <w:t>гулированию конфликта интересов».</w:t>
      </w:r>
    </w:p>
    <w:p w:rsidR="00F258F7" w:rsidRDefault="00F258F7" w:rsidP="00F258F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8"/>
          <w:szCs w:val="28"/>
        </w:rPr>
      </w:pPr>
      <w:r w:rsidRPr="00F258F7">
        <w:rPr>
          <w:rFonts w:ascii="Times New Roman" w:hAnsi="Times New Roman" w:cs="Times New Roman"/>
          <w:sz w:val="28"/>
          <w:szCs w:val="28"/>
        </w:rPr>
        <w:t>Основной задачей комиссии является содействие начальнику департамента социальной защиты населени</w:t>
      </w:r>
      <w:r>
        <w:rPr>
          <w:rFonts w:ascii="Times New Roman" w:hAnsi="Times New Roman" w:cs="Times New Roman"/>
          <w:sz w:val="28"/>
          <w:szCs w:val="28"/>
        </w:rPr>
        <w:t xml:space="preserve">я правительства области </w:t>
      </w:r>
      <w:r>
        <w:rPr>
          <w:rFonts w:ascii="Times New Roman" w:hAnsi="Times New Roman" w:cs="Times New Roman"/>
          <w:sz w:val="28"/>
          <w:szCs w:val="28"/>
        </w:rPr>
        <w:br/>
        <w:t>(далее –</w:t>
      </w:r>
      <w:r w:rsidRPr="00F258F7">
        <w:rPr>
          <w:rFonts w:ascii="Times New Roman" w:hAnsi="Times New Roman" w:cs="Times New Roman"/>
          <w:sz w:val="28"/>
          <w:szCs w:val="28"/>
        </w:rPr>
        <w:t xml:space="preserve"> начальник департамента)</w:t>
      </w:r>
      <w:r>
        <w:rPr>
          <w:rFonts w:ascii="Times New Roman" w:hAnsi="Times New Roman" w:cs="Times New Roman"/>
          <w:sz w:val="28"/>
          <w:szCs w:val="28"/>
        </w:rPr>
        <w:t xml:space="preserve"> </w:t>
      </w:r>
      <w:r w:rsidRPr="00F258F7">
        <w:rPr>
          <w:rFonts w:ascii="Times New Roman" w:hAnsi="Times New Roman" w:cs="Times New Roman"/>
          <w:sz w:val="28"/>
          <w:szCs w:val="28"/>
        </w:rPr>
        <w:t xml:space="preserve">в обеспечении соблюдения государственными гражданскими служащими, замещающими должности государственной гражданской службы в департаменте социальной защиты населения правительства области (далее - департамент), за исключением государственных гражданских служащих области, назначение на должность и освобождение от должности которых осуществляет губернатор области </w:t>
      </w:r>
      <w:r>
        <w:rPr>
          <w:rFonts w:ascii="Times New Roman" w:hAnsi="Times New Roman" w:cs="Times New Roman"/>
          <w:sz w:val="28"/>
          <w:szCs w:val="28"/>
        </w:rPr>
        <w:br/>
      </w:r>
      <w:r w:rsidRPr="00F258F7">
        <w:rPr>
          <w:rFonts w:ascii="Times New Roman" w:hAnsi="Times New Roman" w:cs="Times New Roman"/>
          <w:sz w:val="28"/>
          <w:szCs w:val="28"/>
        </w:rPr>
        <w:t xml:space="preserve">(далее </w:t>
      </w:r>
      <w:r>
        <w:rPr>
          <w:rFonts w:ascii="Times New Roman" w:hAnsi="Times New Roman" w:cs="Times New Roman"/>
          <w:sz w:val="28"/>
          <w:szCs w:val="28"/>
        </w:rPr>
        <w:t>–</w:t>
      </w:r>
      <w:r w:rsidRPr="00F258F7">
        <w:rPr>
          <w:rFonts w:ascii="Times New Roman" w:hAnsi="Times New Roman" w:cs="Times New Roman"/>
          <w:sz w:val="28"/>
          <w:szCs w:val="28"/>
        </w:rPr>
        <w:t xml:space="preserve"> гражданские служащие), ограничений и запретов, требований </w:t>
      </w:r>
      <w:r w:rsidR="009A1C74">
        <w:rPr>
          <w:rFonts w:ascii="Times New Roman" w:hAnsi="Times New Roman" w:cs="Times New Roman"/>
          <w:sz w:val="28"/>
          <w:szCs w:val="28"/>
        </w:rPr>
        <w:br/>
      </w:r>
      <w:bookmarkStart w:id="0" w:name="_GoBack"/>
      <w:bookmarkEnd w:id="0"/>
      <w:r w:rsidRPr="00F258F7">
        <w:rPr>
          <w:rFonts w:ascii="Times New Roman" w:hAnsi="Times New Roman" w:cs="Times New Roman"/>
          <w:sz w:val="28"/>
          <w:szCs w:val="28"/>
        </w:rPr>
        <w:t>о предотвращении или об урегулировании конфликта интересов, исполнения обязанностей, установленных Фед</w:t>
      </w:r>
      <w:r>
        <w:rPr>
          <w:rFonts w:ascii="Times New Roman" w:hAnsi="Times New Roman" w:cs="Times New Roman"/>
          <w:sz w:val="28"/>
          <w:szCs w:val="28"/>
        </w:rPr>
        <w:t>еральным законом от 25.12.2008 №</w:t>
      </w:r>
      <w:r w:rsidRPr="00F258F7">
        <w:rPr>
          <w:rFonts w:ascii="Times New Roman" w:hAnsi="Times New Roman" w:cs="Times New Roman"/>
          <w:sz w:val="28"/>
          <w:szCs w:val="28"/>
        </w:rPr>
        <w:t xml:space="preserve"> 273-Ф</w:t>
      </w:r>
      <w:r>
        <w:rPr>
          <w:rFonts w:ascii="Times New Roman" w:hAnsi="Times New Roman" w:cs="Times New Roman"/>
          <w:sz w:val="28"/>
          <w:szCs w:val="28"/>
        </w:rPr>
        <w:t>З «</w:t>
      </w:r>
      <w:r w:rsidRPr="00F258F7">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F258F7">
        <w:rPr>
          <w:rFonts w:ascii="Times New Roman" w:hAnsi="Times New Roman" w:cs="Times New Roman"/>
          <w:sz w:val="28"/>
          <w:szCs w:val="28"/>
        </w:rPr>
        <w:t>, другими федеральными законами, законами области, актами губернатора области в целях пр</w:t>
      </w:r>
      <w:r>
        <w:rPr>
          <w:rFonts w:ascii="Times New Roman" w:hAnsi="Times New Roman" w:cs="Times New Roman"/>
          <w:sz w:val="28"/>
          <w:szCs w:val="28"/>
        </w:rPr>
        <w:t>отиводействия коррупции (далее –</w:t>
      </w:r>
      <w:r w:rsidRPr="00F258F7">
        <w:rPr>
          <w:rFonts w:ascii="Times New Roman" w:hAnsi="Times New Roman" w:cs="Times New Roman"/>
          <w:sz w:val="28"/>
          <w:szCs w:val="28"/>
        </w:rPr>
        <w:t xml:space="preserve"> требования к служебному поведению и (или) требования </w:t>
      </w:r>
      <w:r>
        <w:rPr>
          <w:rFonts w:ascii="Times New Roman" w:hAnsi="Times New Roman" w:cs="Times New Roman"/>
          <w:sz w:val="28"/>
          <w:szCs w:val="28"/>
        </w:rPr>
        <w:br/>
      </w:r>
      <w:r w:rsidRPr="00F258F7">
        <w:rPr>
          <w:rFonts w:ascii="Times New Roman" w:hAnsi="Times New Roman" w:cs="Times New Roman"/>
          <w:sz w:val="28"/>
          <w:szCs w:val="28"/>
        </w:rPr>
        <w:t>об урегулировании конфликта интересов)</w:t>
      </w:r>
      <w:r>
        <w:rPr>
          <w:rFonts w:ascii="Times New Roman" w:hAnsi="Times New Roman" w:cs="Times New Roman"/>
          <w:sz w:val="28"/>
          <w:szCs w:val="28"/>
        </w:rPr>
        <w:t>.</w:t>
      </w:r>
    </w:p>
    <w:sectPr w:rsidR="00F258F7">
      <w:headerReference w:type="default" r:id="rId9"/>
      <w:footerReference w:type="default" r:id="rId10"/>
      <w:headerReference w:type="first" r:id="rId11"/>
      <w:footerReference w:type="firs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151" w:rsidRDefault="00323151">
      <w:pPr>
        <w:spacing w:after="0" w:line="240" w:lineRule="auto"/>
      </w:pPr>
      <w:r>
        <w:separator/>
      </w:r>
    </w:p>
  </w:endnote>
  <w:endnote w:type="continuationSeparator" w:id="0">
    <w:p w:rsidR="00323151" w:rsidRDefault="0032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BD" w:rsidRDefault="009846B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BD" w:rsidRDefault="009846B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151" w:rsidRDefault="00323151">
      <w:pPr>
        <w:spacing w:after="0" w:line="240" w:lineRule="auto"/>
      </w:pPr>
      <w:r>
        <w:separator/>
      </w:r>
    </w:p>
  </w:footnote>
  <w:footnote w:type="continuationSeparator" w:id="0">
    <w:p w:rsidR="00323151" w:rsidRDefault="0032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BD" w:rsidRDefault="00323151">
    <w:pPr>
      <w:pStyle w:val="a9"/>
      <w:jc w:val="center"/>
    </w:pPr>
    <w:r>
      <w:fldChar w:fldCharType="begin"/>
    </w:r>
    <w:r>
      <w:instrText>PAGE \* MERGEFORMAT</w:instrText>
    </w:r>
    <w:r>
      <w:fldChar w:fldCharType="separate"/>
    </w:r>
    <w:r w:rsidR="009A1C74">
      <w:rPr>
        <w:noProof/>
      </w:rPr>
      <w:t>7</w:t>
    </w:r>
    <w:r>
      <w:fldChar w:fldCharType="end"/>
    </w:r>
  </w:p>
  <w:p w:rsidR="009846BD" w:rsidRDefault="009846B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BD" w:rsidRDefault="009846B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3A0C"/>
    <w:multiLevelType w:val="hybridMultilevel"/>
    <w:tmpl w:val="351E1752"/>
    <w:lvl w:ilvl="0" w:tplc="2CBEF9DE">
      <w:start w:val="1"/>
      <w:numFmt w:val="bullet"/>
      <w:lvlText w:val="·"/>
      <w:lvlJc w:val="left"/>
      <w:pPr>
        <w:ind w:left="1417" w:hanging="360"/>
      </w:pPr>
      <w:rPr>
        <w:rFonts w:ascii="Symbol" w:eastAsia="Symbol" w:hAnsi="Symbol" w:cs="Symbol" w:hint="default"/>
      </w:rPr>
    </w:lvl>
    <w:lvl w:ilvl="1" w:tplc="56705940">
      <w:start w:val="1"/>
      <w:numFmt w:val="bullet"/>
      <w:lvlText w:val="o"/>
      <w:lvlJc w:val="left"/>
      <w:pPr>
        <w:ind w:left="2137" w:hanging="360"/>
      </w:pPr>
      <w:rPr>
        <w:rFonts w:ascii="Courier New" w:eastAsia="Courier New" w:hAnsi="Courier New" w:cs="Courier New" w:hint="default"/>
      </w:rPr>
    </w:lvl>
    <w:lvl w:ilvl="2" w:tplc="6E541736">
      <w:start w:val="1"/>
      <w:numFmt w:val="bullet"/>
      <w:lvlText w:val="§"/>
      <w:lvlJc w:val="left"/>
      <w:pPr>
        <w:ind w:left="2857" w:hanging="360"/>
      </w:pPr>
      <w:rPr>
        <w:rFonts w:ascii="Wingdings" w:eastAsia="Wingdings" w:hAnsi="Wingdings" w:cs="Wingdings" w:hint="default"/>
      </w:rPr>
    </w:lvl>
    <w:lvl w:ilvl="3" w:tplc="F7C2773A">
      <w:start w:val="1"/>
      <w:numFmt w:val="bullet"/>
      <w:lvlText w:val="·"/>
      <w:lvlJc w:val="left"/>
      <w:pPr>
        <w:ind w:left="3577" w:hanging="360"/>
      </w:pPr>
      <w:rPr>
        <w:rFonts w:ascii="Symbol" w:eastAsia="Symbol" w:hAnsi="Symbol" w:cs="Symbol" w:hint="default"/>
      </w:rPr>
    </w:lvl>
    <w:lvl w:ilvl="4" w:tplc="47E4473C">
      <w:start w:val="1"/>
      <w:numFmt w:val="bullet"/>
      <w:lvlText w:val="o"/>
      <w:lvlJc w:val="left"/>
      <w:pPr>
        <w:ind w:left="4297" w:hanging="360"/>
      </w:pPr>
      <w:rPr>
        <w:rFonts w:ascii="Courier New" w:eastAsia="Courier New" w:hAnsi="Courier New" w:cs="Courier New" w:hint="default"/>
      </w:rPr>
    </w:lvl>
    <w:lvl w:ilvl="5" w:tplc="436CD6A0">
      <w:start w:val="1"/>
      <w:numFmt w:val="bullet"/>
      <w:lvlText w:val="§"/>
      <w:lvlJc w:val="left"/>
      <w:pPr>
        <w:ind w:left="5017" w:hanging="360"/>
      </w:pPr>
      <w:rPr>
        <w:rFonts w:ascii="Wingdings" w:eastAsia="Wingdings" w:hAnsi="Wingdings" w:cs="Wingdings" w:hint="default"/>
      </w:rPr>
    </w:lvl>
    <w:lvl w:ilvl="6" w:tplc="400A4FBC">
      <w:start w:val="1"/>
      <w:numFmt w:val="bullet"/>
      <w:lvlText w:val="·"/>
      <w:lvlJc w:val="left"/>
      <w:pPr>
        <w:ind w:left="5737" w:hanging="360"/>
      </w:pPr>
      <w:rPr>
        <w:rFonts w:ascii="Symbol" w:eastAsia="Symbol" w:hAnsi="Symbol" w:cs="Symbol" w:hint="default"/>
      </w:rPr>
    </w:lvl>
    <w:lvl w:ilvl="7" w:tplc="391E8454">
      <w:start w:val="1"/>
      <w:numFmt w:val="bullet"/>
      <w:lvlText w:val="o"/>
      <w:lvlJc w:val="left"/>
      <w:pPr>
        <w:ind w:left="6457" w:hanging="360"/>
      </w:pPr>
      <w:rPr>
        <w:rFonts w:ascii="Courier New" w:eastAsia="Courier New" w:hAnsi="Courier New" w:cs="Courier New" w:hint="default"/>
      </w:rPr>
    </w:lvl>
    <w:lvl w:ilvl="8" w:tplc="2BA236E6">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30CB1ADB"/>
    <w:multiLevelType w:val="hybridMultilevel"/>
    <w:tmpl w:val="EA98469C"/>
    <w:lvl w:ilvl="0" w:tplc="55948528">
      <w:start w:val="1"/>
      <w:numFmt w:val="bullet"/>
      <w:lvlText w:val="·"/>
      <w:lvlJc w:val="left"/>
      <w:pPr>
        <w:ind w:left="709" w:hanging="360"/>
      </w:pPr>
      <w:rPr>
        <w:rFonts w:ascii="Symbol" w:eastAsia="Symbol" w:hAnsi="Symbol" w:cs="Symbol" w:hint="default"/>
      </w:rPr>
    </w:lvl>
    <w:lvl w:ilvl="1" w:tplc="F4A2A924">
      <w:start w:val="1"/>
      <w:numFmt w:val="bullet"/>
      <w:lvlText w:val="·"/>
      <w:lvlJc w:val="left"/>
      <w:pPr>
        <w:ind w:left="1429" w:hanging="360"/>
      </w:pPr>
      <w:rPr>
        <w:rFonts w:ascii="Symbol" w:eastAsia="Symbol" w:hAnsi="Symbol" w:cs="Symbol" w:hint="default"/>
      </w:rPr>
    </w:lvl>
    <w:lvl w:ilvl="2" w:tplc="7B84F322">
      <w:start w:val="1"/>
      <w:numFmt w:val="bullet"/>
      <w:lvlText w:val="·"/>
      <w:lvlJc w:val="left"/>
      <w:pPr>
        <w:ind w:left="2149" w:hanging="360"/>
      </w:pPr>
      <w:rPr>
        <w:rFonts w:ascii="Symbol" w:eastAsia="Symbol" w:hAnsi="Symbol" w:cs="Symbol" w:hint="default"/>
      </w:rPr>
    </w:lvl>
    <w:lvl w:ilvl="3" w:tplc="F536BA8E">
      <w:start w:val="1"/>
      <w:numFmt w:val="bullet"/>
      <w:lvlText w:val="·"/>
      <w:lvlJc w:val="left"/>
      <w:pPr>
        <w:ind w:left="2869" w:hanging="360"/>
      </w:pPr>
      <w:rPr>
        <w:rFonts w:ascii="Symbol" w:eastAsia="Symbol" w:hAnsi="Symbol" w:cs="Symbol" w:hint="default"/>
      </w:rPr>
    </w:lvl>
    <w:lvl w:ilvl="4" w:tplc="55B45398">
      <w:start w:val="1"/>
      <w:numFmt w:val="bullet"/>
      <w:lvlText w:val="·"/>
      <w:lvlJc w:val="left"/>
      <w:pPr>
        <w:ind w:left="3589" w:hanging="360"/>
      </w:pPr>
      <w:rPr>
        <w:rFonts w:ascii="Symbol" w:eastAsia="Symbol" w:hAnsi="Symbol" w:cs="Symbol" w:hint="default"/>
      </w:rPr>
    </w:lvl>
    <w:lvl w:ilvl="5" w:tplc="6FC0AC3A">
      <w:start w:val="1"/>
      <w:numFmt w:val="bullet"/>
      <w:lvlText w:val="·"/>
      <w:lvlJc w:val="left"/>
      <w:pPr>
        <w:ind w:left="4309" w:hanging="360"/>
      </w:pPr>
      <w:rPr>
        <w:rFonts w:ascii="Symbol" w:eastAsia="Symbol" w:hAnsi="Symbol" w:cs="Symbol" w:hint="default"/>
      </w:rPr>
    </w:lvl>
    <w:lvl w:ilvl="6" w:tplc="B1FEFC5E">
      <w:start w:val="1"/>
      <w:numFmt w:val="bullet"/>
      <w:lvlText w:val="·"/>
      <w:lvlJc w:val="left"/>
      <w:pPr>
        <w:ind w:left="5029" w:hanging="360"/>
      </w:pPr>
      <w:rPr>
        <w:rFonts w:ascii="Symbol" w:eastAsia="Symbol" w:hAnsi="Symbol" w:cs="Symbol" w:hint="default"/>
      </w:rPr>
    </w:lvl>
    <w:lvl w:ilvl="7" w:tplc="464663A4">
      <w:start w:val="1"/>
      <w:numFmt w:val="bullet"/>
      <w:lvlText w:val="·"/>
      <w:lvlJc w:val="left"/>
      <w:pPr>
        <w:ind w:left="5749" w:hanging="360"/>
      </w:pPr>
      <w:rPr>
        <w:rFonts w:ascii="Symbol" w:eastAsia="Symbol" w:hAnsi="Symbol" w:cs="Symbol" w:hint="default"/>
      </w:rPr>
    </w:lvl>
    <w:lvl w:ilvl="8" w:tplc="E1F642E8">
      <w:start w:val="1"/>
      <w:numFmt w:val="bullet"/>
      <w:lvlText w:val="·"/>
      <w:lvlJc w:val="left"/>
      <w:pPr>
        <w:ind w:left="6469" w:hanging="360"/>
      </w:pPr>
      <w:rPr>
        <w:rFonts w:ascii="Symbol" w:eastAsia="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BD"/>
    <w:rsid w:val="00112D37"/>
    <w:rsid w:val="00323151"/>
    <w:rsid w:val="009846BD"/>
    <w:rsid w:val="009A1C74"/>
    <w:rsid w:val="00AC3811"/>
    <w:rsid w:val="00B03703"/>
    <w:rsid w:val="00C22B39"/>
    <w:rsid w:val="00C43A7A"/>
    <w:rsid w:val="00DB7403"/>
    <w:rsid w:val="00E51A1E"/>
    <w:rsid w:val="00F2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D955"/>
  <w15:docId w15:val="{10DDC636-F620-43DF-AAC6-4A7B9A39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13">
    <w:name w:val="Обычный (веб)1"/>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Прижатый влево"/>
    <w:uiPriority w:val="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Барладян Клавдия Сергеевна</cp:lastModifiedBy>
  <cp:revision>26</cp:revision>
  <dcterms:created xsi:type="dcterms:W3CDTF">2025-03-10T07:10:00Z</dcterms:created>
  <dcterms:modified xsi:type="dcterms:W3CDTF">2025-03-10T08:14:00Z</dcterms:modified>
</cp:coreProperties>
</file>