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jc w:val="center"/>
        <w:tabs>
          <w:tab w:val="left" w:pos="7937" w:leader="none"/>
        </w:tabs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  <w:t xml:space="preserve">Обзор изменений в законодательстве по противодействию коррупции за 1 квартал 2024 года</w:t>
      </w:r>
      <w:r>
        <w:rPr>
          <w:rFonts w:ascii="Times New Roman" w:hAnsi="Times New Roman" w:cs="Times New Roman"/>
          <w:sz w:val="32"/>
          <w:szCs w:val="32"/>
          <w14:ligatures w14:val="none"/>
        </w:rPr>
      </w:r>
      <w:r>
        <w:rPr>
          <w:rFonts w:ascii="Times New Roman" w:hAnsi="Times New Roman" w:cs="Times New Roman"/>
          <w:sz w:val="32"/>
          <w:szCs w:val="32"/>
          <w14:ligatures w14:val="none"/>
        </w:rPr>
      </w:r>
    </w:p>
    <w:p>
      <w:pPr>
        <w:pStyle w:val="886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ФЕДЕРАЛЬНОЕ ЗАКОНОДАТЕЛЬСТВО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8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118727</wp:posOffset>
                </wp:positionV>
                <wp:extent cx="2450388" cy="1621711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7519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450387" cy="1621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8672;o:allowoverlap:true;o:allowincell:true;mso-position-horizontal-relative:text;margin-left:0.00pt;mso-position-horizontal:absolute;mso-position-vertical-relative:text;margin-top:9.35pt;mso-position-vertical:absolute;width:192.94pt;height:127.69pt;mso-wrap-distance-left:9.07pt;mso-wrap-distance-top:0.00pt;mso-wrap-distance-right:9.07pt;mso-wrap-distance-bottom:0.00pt;" wrapcoords="0 0 100000 0 100000 100000 0 100000" stroked="false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В некоторые акты Президента РФ внесены изменения, касающиеся соблюдения госслужащими требований к служебному (должностному) поведению и требований об урегулировании конфликта интересов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(Указ Президента РФ от 25.01.2024 № 71</w:t>
      </w:r>
      <w: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внесении изменений в некоторые акты Президента Российской Федерации»).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частности, уточнены функции и полномочия Совета и президиума Совета при Президенте РФ по противодействию коррупции, комиссий по соблюдению требований к служебному поведению федеральных государственных служащих и урегулированию конфликта интересов, скоррек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ированы основания установления нарушений со стороны лиц, замещающих государственные должности или должности федеральной государственной службы, и принятия соответствующих решений, уточнены отдельные аспекты контроля за соответствием расходов указанных и ин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ых лиц их доходам.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Изменения связаны с расширением перечня оснований для проведения заседаний комиссий по соблюдению требований к служебному поведению федеральных государственных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лужащих и урегулированию конфликта интересов.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 вносит поправки в ряд законодательных антикоррупционных актов, в том числе в документ, утверждающий форму справки о доходах, и правовой акт, регулирующий работу комиссии по конфликту интересов.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этими изменениями, были внесены изменения </w:t>
        <w:br/>
        <w:t xml:space="preserve">в Положение о комиссиях, утвержденное </w:t>
      </w:r>
      <w:hyperlink r:id="rId14" w:tooltip="http://pravo.gov.ru/proxy/ips/?docbody=&amp;firstDoc=1&amp;lastDoc=1&amp;nd=102139510" w:history="1">
        <w:r>
          <w:rPr>
            <w:rStyle w:val="862"/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u w:val="none"/>
          </w:rPr>
          <w:t xml:space="preserve">Указом Президента РФ</w:t>
        </w:r>
      </w:hyperlink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  <w:br/>
        <w:t xml:space="preserve">от 01.07.2010 № 821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Если государственный служащий столкнулся с проблемами, которые помешают ему соблюдать правила поведения на работе или требования </w:t>
        <w:br/>
        <w:t xml:space="preserve">по разрешению конфликта интересов, он должен сообщить об этом.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Теперь комиссия по конфликту интересов будет рассматрива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ть уведомления госслужащих, которые не смогли исполнить требования антикоррупционного законодательства по независящим от них обстоятельствам.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случае, если комиссия признает эти обстоятельства объективными, служащий освобождается от ответственности.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 рассматривается подразделением государственного органа, ответственного за профилактику коррупционных и иных правонарушений.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рассмотрения уведомления на заседании комиссии будет принято одно из следующих решений: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сли государственный служащий не может соблюдать требования </w:t>
        <w:br/>
        <w:t xml:space="preserve">к своему служебному поведению или требования по урегулированию конфликта интересов из-за обстоятельств, не зависящих от него, то должна быть признана связь между этими обстоятельствами и его невоз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можностью выполнять эти требования;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признать отсутствие такой причинно-следственной связи.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Спр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авочно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непредвиденными считаются не зависящие от физического лица обстоятельства, то есть находящиеся вне контроля затронутого ими физического лица чрезвычайные и непредотвратимые обстоятельства.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Данное изменение влечет за собой приведение в соответствие региональных и муниципальных правовых актов.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Также отменяется необходимость прикладывать выписки о движениях денежных средств по счетам к справками о доходах, расходах, имуществе и обязательствах имущественного характера.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 формы справки о доходах, расходах, об имуществе и обязательствах имущественного характера (раздел 4) исключено требование, обязывающее представлять вместе со справкой выписку о движении средств по счету, если есть превышение.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Справочно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превышением яв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ляется ситуация, при которой сумма денежных средств, поступивших на счета за отчетный период, в случае если общая сумма таких денежных средств.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Указом Президента РФ от 22.01.2024 № 61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 федеральном кадровом резерве на государственной гражданской службе Российской Федерации»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утверждено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оложение о порядке представления государственными гражданскими служащими Российской Федерации, гражданами Российской Федерации, претендующими на включение </w:t>
        <w:br/>
        <w:t xml:space="preserve">в федеральный кадровый резерв на государственной гражданской службе Российской Федерации, сведений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доходах, об имуществе и обязательствах имущественного характера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порядке осуществления проверки достоверности и полноты представленных сведений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представлении на кандидата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включение в федеральный кадровый резерв на государственной гражданской службе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должна содержаться информация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применении к кандидату дисциплинарных взысканий, в том числе взыскания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Федеральным законом </w:t>
        <w:br/>
        <w:t xml:space="preserve">от 25 декаб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2008 г. № 273-ФЗ «О противодействии коррупции», другими федеральными законами в целях противодействия коррупции; об отсутствии сведений о кандидате в реестре лиц, уволенных в связи с утратой доверия; </w:t>
        <w:br/>
        <w:t xml:space="preserve">об отсутствии статуса иностранного агента; об отсутств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ии ограничений, связанных с федеральной гражданской службой, предусмотренных </w:t>
        <w:br/>
        <w:t xml:space="preserve">пунктами 2, 7 и 11 части 1 статьи 16 Федерального закона от 27 июля 2004 г. № 79-ФЗ «О государственной гражданской службе Российской Федерации».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Не рассматривается в качестве канд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идата лицо: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имеющее неснятое дисциплинарное взыскание, в том числе взыскание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Федеральным законом от 25 декабря 2008 </w:t>
      </w:r>
      <w:r>
        <w:rPr>
          <w:sz w:val="28"/>
          <w:szCs w:val="28"/>
          <w:highlight w:val="none"/>
        </w:rPr>
        <w:t xml:space="preserve">г. № 273-ФЗ </w:t>
        <w:br/>
        <w:t xml:space="preserve">«О противодействии коррупции», другими федеральными законами в целях противодействия коррупции;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подвергшееся взысканию в виде увольнения (освобождения </w:t>
        <w:br/>
        <w:t xml:space="preserve">от должности) в связи с утратой доверия за совершение коррупционного правонарушения, – в течение пяти лет со дня применения данного взыскания.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/>
          <w:bCs/>
          <w:i/>
          <w:iCs/>
          <w:sz w:val="28"/>
          <w:szCs w:val="28"/>
          <w:highlight w:val="none"/>
        </w:rPr>
        <w:t xml:space="preserve">Лицо, включенное в федеральный кадровый резерв, может быть исключено из него в случае</w:t>
      </w:r>
      <w:r>
        <w:rPr>
          <w:b/>
          <w:bCs/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</w:t>
      </w:r>
      <w:r>
        <w:rPr>
          <w:sz w:val="28"/>
          <w:szCs w:val="28"/>
          <w:highlight w:val="none"/>
        </w:rPr>
        <w:t xml:space="preserve">именения дисциплинарного взыскания, в том числе взыскания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Федеральным законом от 25 декабря 2008 г. </w:t>
        <w:br/>
        <w:t xml:space="preserve">№ 2</w:t>
      </w:r>
      <w:r>
        <w:rPr>
          <w:sz w:val="28"/>
          <w:szCs w:val="28"/>
          <w:highlight w:val="none"/>
        </w:rPr>
        <w:t xml:space="preserve">73-ФЗ «О противодействии коррупции», другими федеральными законами в целях противодействия коррупции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Анализ представленных кандидатом сведений о доходах, об имуществе и обязательствах имущественного характера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осуществляется, в том числе </w:t>
        <w:br/>
        <w:t xml:space="preserve">с использованием государственной информационной системы в области противодействия коррупции «Посейдон».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результатам анализа представленных кандидатом сведений о доходах, об имуществе и обязательствах имущественного характера и (или) проверки Управление Президента Российской Федерации по вопросам государственной службы, кадров и противодействия коррупции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дготавливает заключение о возможности либо нецелесообразности включения кандидата в федеральный кадровый резерв.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Проектом Федерального закона № 506049-8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 внесении изменений </w:t>
        <w:br/>
        <w:t xml:space="preserve">в Федеральный закон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от 27 июля 2004 года № 79-ФЗ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«О государственной гражданской службе Российской Федерации»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(ред., принятая ГД ФС РФ в I чтении 15.02.2024)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предлагается статьи 28 изложить в новой редакции, предусмотрев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следующее: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Перевод гражданского служащего на иную должность гражданской службы в том же государственном органе осуществляется: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связи с необходимостью устранения обстоятельств, связанных с непосредственной подчиненностью или подконтрольностью гражданских служащих, находящихся в отношениях близкого родства или свойства, в целях обеспечения соблюдения ограничения, предусмотренного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унктом 5 части 1 статьи 16 настоящего Федерального закона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«О государственной гражданской службе Российской Федерации»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 допускается перевод на иную должность гражданской службы в том же государственном органе (за исключением перевода в случаях, указанных в пунктах 3 - 6, 9, 10, 13 и 14 части 5 статьи 28, на должность гражданской службы, размер должностного оклада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которой не превышает размер должностного оклада по замещаемой гражданским служащим должности гражданской службы) или в другой государственный орган гражданского служащего, в отношении которого проводится служебная проверка либо проверка соблюдения огранич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настоящим Федеральным законом, Федеральным законом от 25 декабря 2008 года № 273-ФЗ </w:t>
        <w:br/>
        <w:t xml:space="preserve">«О противод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ействии коррупции» и другими федеральными законами.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статье 59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Служебная проверка  предлагается уточнить сроки проведения служебной проверки.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Служебная проверка должна быть завершена в срок, не превышающий 60 календарных дней со дня принятия решения о ее проведении. Срок служебной проверки может быть продлен до 90 календарных дней лицами, принявшими решение о ее проведении. После окончания служеб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проверки ее результаты сообщаются представителю нанимателя, назначившему данную служебную проверку, в форме письменного заключения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Порядок проведения служебных проверок может утверждаться нормативными правовыми актами федеральных государственных органов, органов публичной власти федеральной территории и нормативными правовыми актами субъекта Российской Федерации в отношении федеральных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гражданских служащих и гражданских служащих субъектов Российской Федерации соответственно с учетом положений настоящей статьи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 2024 - 2028 годы утверждена межведомственная программа мер по выявлению и пресечению картелей и иных ограничивающих конкуренцию соглашений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аспоряжение Правительства Российской Федерации от 05.03.2024 № 512-р</w:t>
      </w:r>
      <w: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 утверждении Межведомственной программы мер по выявлению и пресечению картелей и иных ограничивающих конкуренцию соглашений на 2024 - 2028 годы»).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рограмма направлена в том числе на профилактику монополистической деятельности, ограничения и устранения конкуренции, профилактику коррупции при проведении торгов, оперативное реагирование на нарушения законодательства РФ, связанные с картелями и иными огр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аничивающими конкуренцию соглашениями. Ответственным исполнителем программы является ФАС России. Контроль за реализацией программы осуществляет Правительство РФ.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Приводится перечень мероприятий межведомственной программы, </w:t>
        <w:br/>
        <w:t xml:space="preserve">а также целевые индикаторы (показатели) ее реализации.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На работников, замещающих отдельные должности в МЧС, распространены антикоррупционные ограничения и обязанности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риказ МЧС России от 09.01.2024 № 2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распространении на работников, замещающих отдельные должности на основании трудового договора </w:t>
        <w:br/>
        <w:t xml:space="preserve">в организациях, созданных для выполнения задач, поставленных перед МЧС России, ограничений, запретов и обязанностей».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Зарегистрировано в Минюсте России 12.02.2024 № 77214).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становлено, что на работников, замещающих должности, включенные в Перечень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3 июл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2023 г. № 702, распространяются ограничения, запреты и обязанности, установленные Постановлением Правительства РФ от 5 июля 2013 г. № 568 </w:t>
        <w:br/>
        <w:t xml:space="preserve">«О распространении на отдельные категории граждан ограничений, запретов и обязанностей, установленных Федеральным зак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оном «О противодействии коррупции» и другими федеральными законами в целях противодействия коррупции».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ля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применения в ходе декларационной кампании 2024 года </w:t>
        <w:br/>
        <w:t xml:space="preserve">(за отчетный 2023 год) подготовлены методические рекомендации </w:t>
        <w:br/>
        <w:t xml:space="preserve">по вопросам представления сведений о доходах, расходах, об имуществе и обязательствах имущественного характера и заполнения соответствующей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формы справки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Письмо Минтруда России от 12.02.2024 № 28-7/10/В-2237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  <w:br/>
        <w:t xml:space="preserve">в 2024 году (за отчетный 2023 год)»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етодические рекомендации размещены на официальном сайте Минтруда России в сети «Интернет» в подразделе «Представление сведений о доходах, расходах, об имуществе и обязательствах имущественного характера» раздела «Деятельность/Государственное управление/Пол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итик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 </w:t>
        <w:br/>
        <w:t xml:space="preserve">в сфере противодействия коррупции/Методические материалы по вопросам противодействия коррупции» и доступны для скачивания и ознакомления </w:t>
        <w:br/>
        <w:t xml:space="preserve">по ссылке: https://fexch.mintrud.gov.ru/s/PSaecEPzBi368YH, а также </w:t>
        <w:br/>
        <w:t xml:space="preserve">в ближайшее время будут размещены по ссылке: ht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tps://mintrud.gov.ru/ministry/programms/anticorruption/9/5.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Приведены основные новеллы, на которые следует обратить внимание при использовании методических рекомендаций за отчетный 2023 год.</w:t>
      </w:r>
      <w:r>
        <w:rPr>
          <w:sz w:val="28"/>
          <w:szCs w:val="28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Так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же отмечается, что методические рекомендации за отчетный </w:t>
        <w:br/>
        <w:t xml:space="preserve">2022 год, направленные письмом Минтруда России от 30 декабря 2022 г. </w:t>
        <w:br/>
        <w:t xml:space="preserve">№ 28-6/10/В-18597, подлежали использованию только в отношении сведений, представляемых в ходе декларационной кампании 2023 года.</w:t>
      </w:r>
      <w:r>
        <w:rPr>
          <w:sz w:val="28"/>
          <w:szCs w:val="28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Минтрудом разработаны методические рекомендации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 в 2024 году (за отчетный 2023 год)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год)», утвержденные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Минтрудом России)</w:t>
      </w:r>
      <w: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рекомендациях, в частности, отражены особенности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операции, добавлен перечень рекомендуемы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действий при невозможности представить сведения о доходах вследствие не зависящих от служащего (работника) обстоятельств, предусмотрено допустимое отражение информации о должностях супругов, замещающих должности военной службы, указаны особенности отражен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дохода лица, зарегистрированного в качестве индивидуального предпринимателя и применяющего несколько специальных налоговых режимов, определены особенности отражения счета цифрового рубля, указано на отсутствие необходимости отражать электронные средства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платежа, и прочее.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86"/>
        <w:ind w:firstLine="0"/>
        <w:jc w:val="left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969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19385</wp:posOffset>
                </wp:positionV>
                <wp:extent cx="5764008" cy="1030070"/>
                <wp:effectExtent l="0" t="0" r="0" b="0"/>
                <wp:wrapSquare wrapText="bothSides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0450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5764008" cy="1030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9696;o:allowoverlap:true;o:allowincell:true;mso-position-horizontal-relative:text;margin-left:5.40pt;mso-position-horizontal:absolute;mso-position-vertical-relative:text;margin-top:1.53pt;mso-position-vertical:absolute;width:453.86pt;height:81.11pt;mso-wrap-distance-left:9.07pt;mso-wrap-distance-top:0.00pt;mso-wrap-distance-right:9.07pt;mso-wrap-distance-bottom:0.00pt;" stroked="false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Законом Еврейской автономной области от 27.03.2024 № 382-ОЗ </w:t>
        <w:br/>
        <w:t xml:space="preserve">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в некоторые законы Еврейской автономной области»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 ряд законодательных актов области внесены изменения </w:t>
        <w:br/>
        <w:t xml:space="preserve">в отношении 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иц, замещающих государственные должности обл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асти, муниципальные должности, депутатов, которые освобождаются </w:t>
        <w:br/>
        <w:t xml:space="preserve">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от 21.12.2021 № 414-ФЗ «Об общих принципах организации публичной власти в субъектах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олнение таких обязанностей признается следствием не зависящих от них обстоятельств в порядке, предусмотренном </w:t>
        <w:br/>
        <w:t xml:space="preserve">частями 3 – 6 статьи 13 Федерального закона от 25.12.2008 № 273-ФЗ </w:t>
        <w:br/>
        <w:t xml:space="preserve">«О противодействии коррупции».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Постановлением правительства Еврейской автономной области </w:t>
        <w:br/>
        <w:t xml:space="preserve">от 21.03.2024 №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114-пп</w:t>
      </w:r>
      <w:r>
        <w:rPr>
          <w:b/>
          <w:bCs/>
        </w:rPr>
        <w:t xml:space="preserve">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в государственную программу Еврейской автономной области «Профилактика правонарушений и преступлений в Еврейской автономной области» на 2024 – 2029 годы, утвержденную постановлением правительства Еврейской автономной области от 26.12.2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023 № 598-пп»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и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Постановлением правительства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 </w:t>
        <w:br/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от 21.03.2024 № 115-пп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в государственную программу Еврейской автономной области «Профилактика правонарушений и преступлений в Еврейской автономной области» на 2024 – 2029 годы, утвержденную постановлением правительства Еврейской автономной области от 26.12.2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023 № 598-пп»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внесены изменения, предусматривающие, что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общий объем финансирования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подпрограммы «Противодействие коррупции» на 2024 – 2029 годы составит –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450,0 тыс. рублей.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Целью подпрограммы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«Противодействие коррупции» на 2024 – </w:t>
        <w:br/>
        <w:t xml:space="preserve">2029 годы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является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ос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уществление мероприятий, направленных </w:t>
        <w:br/>
        <w:t xml:space="preserve">на предупреждение и профилактику коррупции, а также на минимизацию и ликвидацию последствий коррупционных правонарушений в органах государственной власти и органах местного самоуправления муниципальных образований обл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асти, а также в государственных и муниципальных учреждениях области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Структура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подпрограммы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«Противодействие коррупции» на 2024 – </w:t>
        <w:br/>
        <w:t xml:space="preserve">2029 годы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включает в себя: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1. Комплекс процессных мероприятий "Совершенствование организационно-правовых основ противодействия коррупции".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2. Комплекс процессных мероприятий «Формирование организационно-правовых условий для предотвращения коррупционных правонарушений».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3. Комплекс процессных мероприятий «Повышение информационной открытости деятельности по противодействию коррупции».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4. Комплекс процессных мероприятий «Антикоррупционный контроль за осуществлением закупок товаров, работ, услуг для обеспечения государственных, муниципальных нужд и нужд области».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5. Комплекс процессных мероприятий «Антикоррупционное развитие механизмов управления государственным имуществом области».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6. Комплекс процессных мероприятий «Обучение в сфере противодействия коррупции».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Перечень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должностей государственной гражданской службы в аппарате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губернатора и правительства Еврейской автономной области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, утвержденный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постановлением губернатора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области,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br/>
        <w:t xml:space="preserve">от 01.02.2024 № 20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внесении изменения в перечень должностей государственной гражданской службы Еврейской автономной области, исполнение должностных обязанностей по которым связано </w:t>
        <w:br/>
        <w:t xml:space="preserve">с использованием сведений, составляющих государственную тайну, при назначении на которые конк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урс может не проводиться, утвержденный постановлением губернатора Еврейской автономной области </w:t>
        <w:br/>
        <w:t xml:space="preserve">от 28.06.2013 № 178 «О должностях государственной гражданской службы Еврейской автономной области, при назначении на которые конкурс может не проводиться»</w:t>
      </w:r>
      <w:r>
        <w:rPr>
          <w:b w:val="0"/>
          <w:bCs w:val="0"/>
          <w:sz w:val="28"/>
          <w:szCs w:val="28"/>
        </w:rPr>
        <w:t xml:space="preserve"> включена должность н</w:t>
      </w:r>
      <w:r>
        <w:rPr>
          <w:b w:val="0"/>
          <w:bCs w:val="0"/>
          <w:sz w:val="28"/>
          <w:szCs w:val="28"/>
        </w:rPr>
        <w:t xml:space="preserve">ачальника управления </w:t>
        <w:br/>
        <w:t xml:space="preserve">по противодействию коррупции в Еврейской автономной области.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Постановлением губернатора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sz w:val="28"/>
          <w:szCs w:val="28"/>
          <w:highlight w:val="none"/>
          <w:u w:val="none"/>
        </w:rPr>
        <w:br/>
        <w:t xml:space="preserve">от 22.03.2024 № 41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в постановление губернатора Еврейской автономной области от 13.07.2018 № 181 «О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до 2024 года» и Указа Президента Российской Федерации </w:t>
        <w:br/>
        <w:t xml:space="preserve">от 21.07.2020 № 474 «О национальных целях развития Российской Федерации на период до 2030 года»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в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структуру проектной деятельности </w:t>
        <w:br/>
        <w:t xml:space="preserve">в правительстве Еврейской автономной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включены оперуполномоченные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отдела экономической безопасности и противодействия коррупции Управления Министерства внутренних дел Российской Федерации по Еврейской автономной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Приказом департамента социальной защиты населения правительства ЕАО от 23.01.2024 № 206/24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конкурсе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начальником департамента социальной защиты населения правительства Еврейской автоном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ной области»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утверждены: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М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етодика проведения конкурса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начальником департамента социальной защиты населения правительства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Еврейской автономной области.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-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Порядок работы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области, назначение на которую и освобождение от которой осуществляется начальником департамента с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оциальной защиты населения правительства Еврейской автономной области.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 целях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мотивации к самоподготовке и повышению профессионального уровня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ретендент может пройти предвар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ительный тест </w:t>
      </w:r>
      <w:r>
        <w:rPr>
          <w:sz w:val="28"/>
          <w:szCs w:val="28"/>
        </w:rPr>
        <w:t xml:space="preserve">вне рамок конкурса</w:t>
      </w:r>
      <w:r>
        <w:rPr>
          <w:sz w:val="28"/>
          <w:szCs w:val="28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граж</w:t>
      </w:r>
      <w:r>
        <w:rPr>
          <w:sz w:val="28"/>
          <w:szCs w:val="28"/>
          <w:highlight w:val="none"/>
        </w:rPr>
        <w:t xml:space="preserve">данской службе Российской Федерации и о противодействии коррупции, знаниями и умениями в сфере информационно-коммуникационных технологий.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</w:t>
      </w:r>
      <w:r>
        <w:rPr>
          <w:sz w:val="28"/>
          <w:szCs w:val="28"/>
          <w:highlight w:val="none"/>
        </w:rPr>
        <w:t xml:space="preserve">дения предоставляется безвозмездно.</w:t>
      </w:r>
      <w:r>
        <w:rPr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 ходе конкурсных процедур проводится тестирование знаний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 том числе и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 противодействии коррупции.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Приказом департамента социальной защиты населения правительства ЕАО от 26.03.2024 № 974/24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внесении изменения </w:t>
        <w:br/>
        <w:t xml:space="preserve">в приказ департамента социальной защиты населения правительства Еврейской автономной области от 22.07.2022 № 1928 «Об утверждении Порядка уведомления представителя нанимателя о фактах обращения </w:t>
        <w:br/>
        <w:t xml:space="preserve">в целях склонения государственного гражда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уведомлениях о таких фактах»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данный нормативный правовой акт приведен в соответствие с действующим региональным законодательством (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остановлением губернатора Еврейской автономной области от 01.03.2011 № 70 «О Порядке уведомления представителя нанимателя о фактах обращения в целях склонения государственного гражданского служащего Еврейской автономной области, назначение на должность кот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орого осуществляется губернатором Еврейской автономной области, к совершению коррупционных правонарушений и перечне сведений, содержащихся в указанных уведомлениях»).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Постановлением мэрии города муниципального образования «Город Биробиджан»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Еврейской автономной области</w:t>
      </w:r>
      <w:r/>
      <w:r>
        <w:rPr>
          <w:b/>
          <w:bCs/>
          <w:i w:val="0"/>
          <w:sz w:val="28"/>
          <w:szCs w:val="28"/>
          <w:highlight w:val="none"/>
          <w:u w:val="none"/>
        </w:rPr>
        <w:t xml:space="preserve"> от 24.01.2024 № 80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Об утверждении Положения о порядке сдачи квалификационного экзамена муниципальными служащими мэрии города муниципального образования «Город Биробиджан» Еврейской автономной области и оценки их знаний, навыков и умений (профессионального уровня)»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утверждено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Положение о порядке сдачи квалификационного экзамена муниципальными служащими мэрии города муниципального образования «Город Биробиджан» Еврейской автономной области и оценки их знаний, навыков и умений (профессионального уровня).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Квалификационный экзамен проводится по экзаменационным билетам.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На подготовку ответа на вопросы билета муниципальному служащему предоставляется время - 30 минут. В случае если муниципальный служащий затрудняется ответить на вопросы, содержащиеся в билете, он имеет право еще один раз выбрать другой билет. С целью оценки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уровня знаний, навыков и умений (профессионального уровня) муниципального служащего, а также решения вопроса о возможности присвоения ему классного чина муниципальному служащему могут быть заданы дополнительные вопросы.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экзаменационные билеты включены следующие вопросы: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Порядок сообщения о получении подарка в связи с протокольным мероприятием.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Порядок уведомления работодателя о склонении муниципального служащего к совершению коррупционного правонарушения.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Ответственность муниципального служащего при прохождении муниципальной службы.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Представление сведений о доходах, расходах, об имуществе и обязательствах имущественного характера на муниципальной службе.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Порядок выполнения иной оплачиваемой работы.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Основные обязанности муниципального служащего после увольнения с муниципальной службы.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Дисциплинарная ответственность муниципального служащего.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Запреты, связанные с муниципальной службой.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Ограничения, связанные с муниципальной службой.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Урегулирование конфликта интересов на муниципальной службе.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Порядок и условия поступления на муниципальную службу.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Основания для прекращения муниципальной службы.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Требования к служебному поведению муниципальных служащих.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Постановлением администрации муниципального образования «Октябрьский муниципальный район»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</w:t>
        <w:br/>
        <w:t xml:space="preserve">от 14.03.2024 № 57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интересов, утвержденное постановлением администрации муниципального района от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12.02.2016 № 28»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дополнены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Основания для проведения заседания комиссии –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уведомления муниципального служащего </w:t>
        <w:br/>
        <w:t xml:space="preserve">о возникновении не зависящих от него обстоятельств, препятствующих соблюдению требований к служебному поведению и (или) требований </w:t>
        <w:br/>
        <w:t xml:space="preserve">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, комиссия принимает одно из следующих решений: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/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Постановление мэрии города муниципального образования «Город Биробиджан»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Еврейской автономной области </w:t>
      </w:r>
      <w:r/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от 16.02.2024 № 252  </w:t>
        <w:br/>
        <w:t xml:space="preserve">«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 признании утратившим силу постановления мэрии города муниципального образования «Город Биробиджан" Еврейской автономной области </w:t>
        <w:br/>
        <w:t xml:space="preserve">от 26.01.2023 № 136 «О внесении изменения в Перечень должностей муниципальной службы в мэрии города муниципального образования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«Город Биробиджан» Еврейской автономной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мэрии города муниципального образования «Город Биробиджан» Еврейской автономной области от 27.12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.2022 № 2840».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Распоряжение мэрии города муниципального образования «Город Биробиджан»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Еврейской автономной области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от 13.02.2024 № 29 </w:t>
        <w:br/>
        <w:t xml:space="preserve">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признании утратившим силу распоряжения мэрии города муниципального образования «Город Биробиджан» Еврейской автономной области от 18.11.2021 № 675 «О мерах по реализации отдельных положений Федерального закона «О противодействии коррупции».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Постановлением администрации муниципального образования «Смидовичский муниципальный район»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Еврейской автономной области</w:t>
        <w:br/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от 11.01.2024 № 06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Состав комиссии </w:t>
        <w:br/>
        <w:t xml:space="preserve">по противодействию коррупции администрации Смидовичского муниципального района, утвержденный постановлением администрации муниципального района от 13.09.2021 № 329»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утвержден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состав комиссии по противодействию коррупции администрации Смидовичского муниципального района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fldSimple w:instr="PAGE \* MERGEFORMAT">
      <w:r>
        <w:t xml:space="preserve">1</w:t>
      </w:r>
    </w:fldSimple>
    <w:r/>
    <w:r/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0"/>
    <w:next w:val="880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0"/>
    <w:next w:val="880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>
    <w:name w:val="No Spacing"/>
    <w:basedOn w:val="880"/>
    <w:uiPriority w:val="1"/>
    <w:qFormat/>
    <w:pPr>
      <w:spacing w:after="0" w:line="240" w:lineRule="auto"/>
    </w:pPr>
  </w:style>
  <w:style w:type="paragraph" w:styleId="884">
    <w:name w:val="List Paragraph"/>
    <w:basedOn w:val="880"/>
    <w:uiPriority w:val="34"/>
    <w:qFormat/>
    <w:pPr>
      <w:contextualSpacing/>
      <w:ind w:left="720"/>
    </w:pPr>
  </w:style>
  <w:style w:type="character" w:styleId="885" w:default="1">
    <w:name w:val="Default Paragraph Font"/>
    <w:uiPriority w:val="1"/>
    <w:semiHidden/>
    <w:unhideWhenUsed/>
  </w:style>
  <w:style w:type="paragraph" w:styleId="886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7" w:customStyle="1">
    <w:name w:val="Прижатый влево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hyperlink" Target="http://pravo.gov.ru/proxy/ips/?docbody=&amp;firstDoc=1&amp;lastDoc=1&amp;nd=102139510" TargetMode="External"/><Relationship Id="rId15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2024-04-08T08:32:38Z</dcterms:modified>
</cp:coreProperties>
</file>