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right="-31"/>
        <w:jc w:val="center"/>
        <w:shd w:val="clear" w:color="auto" w:fill="fefffe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о реализации Плана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  <w:r/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социальной защиты населения прав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ительства Еврейской автономной области 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по пр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отиводействию коррупции на 201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 квартал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года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14456" w:type="dxa"/>
        <w:tblInd w:w="60" w:type="dxa"/>
        <w:tblLayout w:type="fixed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 по 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-пп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Наименование мероприятий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Срок реализации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Ожидаемый результат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об исполнении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1. Нормативно-правовое и организационное обеспечение антикоррупционной деятельности в органах исполнительной власти области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1.1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2022 год - 100%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,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2023 год -100%,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2024 год –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 квартале 2023 года департаментом изменения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 не вносились.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1.2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Оказание помощи учреждениям, подведомственным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разработке планов мероприятий по противодействию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правительства области, по противодействию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2 квартале 2023 года корректировка утвержденных планов с учетом действующего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 не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осуществлялась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расходах, </w:t>
              <w:br w:type="textWrapping" w:clear="all"/>
              <w:t xml:space="preserve">об имуществе и обязательствах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характера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2018 - 2024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роведен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анализ сведений о доходах, расхо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дах,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 и обязательствах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  <w:br/>
              <w:t xml:space="preserve">за 2022 год.</w:t>
            </w:r>
            <w:r>
              <w:rPr>
                <w:highlight w:val="none"/>
              </w:rPr>
            </w:r>
            <w:r/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 социальной защиты населения правительства ЕАО </w:t>
              <w:br/>
              <w:t xml:space="preserve">от 08.09.2022 № 2431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 детей»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49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департамента.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мероприятий, направленных на 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 размещается на официальном сайте информация о результатах работы соответствующих органов, подразделений и должностных лиц по профилактике коррупционных и иных нарушений.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Ссылки на информационно-разъяснительные материалы, разработанные Генерал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ьной прокуратурой Российской Федерации, размещены                        в разделе «Противодействие коррупции» на Официальном интернет-портале органов исполнительной власти Еврейской автономной области, сайте социальной защиты Еврейской автономной области.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деятельности по профилактике коррупционных и иных правонарушений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2023 государственные гражданские служащие департамента, ответственные за работу по противодействию коррупции, повышение эффективности деятельности по профилактике коррупционных и иных правонарушений не проходили.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 квартале актуализация методических материалов, размещенных 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 официальном портале органов государственной власти Еврейской автономной области http:// eao.ru/ раздел «Про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иводействие коррупции </w:t>
              <w:br/>
              <w:t xml:space="preserve">в органах социальной защиты населения Еврейской автономной области»: Методические материалы и на сайте социальная защита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не требовалась.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контроля за ведением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личных дел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в том числе контроля за актуализацией сведений, содерж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ктуализ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ация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учреждениях, подведомственных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Своевременная их корректировка с учетом возможных изменений в законодательстве.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Предоставление отчетов о реализации указанных планов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17.09.2021 № 2651/21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коррупции на 2021-2024 годы»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специальных мероприятий антикоррупционной направленности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учреждениях, подведомственных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Профилактика коррупционных проявлений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информации о динамике процессов применения законодательства о противодействии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мониторинг практики применения законодательства в сфере государственной гражданской службы, в том числе по противодействию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социальной защиты населения правительства области проводился.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Актуализация перечня должностей государственной гражданской службы 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2. Противодействие коррупции в рамках законодательства о государственной гражданской службе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2.1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Реализация мер по обеспечению эффективного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в связи с их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4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Уведомлений о получении</w:t>
            </w:r>
            <w:r>
              <w:rPr>
                <w:sz w:val="22"/>
                <w:szCs w:val="22"/>
                <w:highlight w:val="none"/>
              </w:rPr>
              <w:t xml:space="preserve"> по</w:t>
            </w:r>
            <w:r>
              <w:rPr>
                <w:sz w:val="22"/>
                <w:szCs w:val="22"/>
                <w:highlight w:val="none"/>
              </w:rPr>
              <w:t xml:space="preserve">дарка </w:t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  <w:br/>
              <w:t xml:space="preserve">с исполнением служебных (должностных) обязанностей, </w:t>
              <w:br/>
              <w:t xml:space="preserve">от государственных гражданских служащих департамента не поступало.</w:t>
            </w:r>
            <w:r>
              <w:rPr>
                <w:highlight w:val="none"/>
              </w:rPr>
            </w:r>
            <w:r/>
          </w:p>
          <w:p>
            <w:pPr>
              <w:pStyle w:val="84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Во 2</w:t>
            </w:r>
            <w:r>
              <w:rPr>
                <w:sz w:val="22"/>
                <w:szCs w:val="22"/>
                <w:highlight w:val="none"/>
              </w:rPr>
              <w:t xml:space="preserve"> квартале 2023 года проверки не проводились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2.2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качества представления 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2"/>
                <w:szCs w:val="22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В целях реализации норм законода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тельства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о противодействии коррупции департаментом социальной защиты населения правительства Еврейской автономной области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(далее – департамент) проведен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анализ   сведений о доходах, расходах, об имуществе и обязательствах имущественного характера за 2022 год, представленных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highlight w:val="none"/>
              </w:rPr>
            </w:r>
            <w:r/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4"/>
                <w:szCs w:val="24"/>
                <w:highlight w:val="none"/>
              </w:rPr>
            </w:pP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Приказом департамента </w:t>
              <w:br w:type="textWrapping" w:clear="all"/>
              <w:t xml:space="preserve">от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актуализи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</w:t>
            </w:r>
            <w:r>
              <w:rPr>
                <w:rStyle w:val="842"/>
                <w:spacing w:val="0"/>
                <w:sz w:val="22"/>
                <w:szCs w:val="22"/>
                <w:highlight w:val="none"/>
              </w:rPr>
              <w:t xml:space="preserve">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зательствах имущественного характера своих супруги (супруга) и несовершеннолетних детей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4"/>
                <w:szCs w:val="24"/>
                <w:highlight w:val="none"/>
              </w:rPr>
            </w:pP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В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о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 2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 квартале 2023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49</w:t>
            </w:r>
            <w:r>
              <w:rPr>
                <w:rStyle w:val="842"/>
                <w:spacing w:val="0"/>
                <w:sz w:val="24"/>
                <w:szCs w:val="24"/>
                <w:highlight w:val="yellow"/>
              </w:rPr>
              <w:t xml:space="preserve"> 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государственных гражданских служащих департамента.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4"/>
              <w:ind w:firstLine="255"/>
              <w:jc w:val="both"/>
              <w:rPr>
                <w:rStyle w:val="842"/>
                <w:spacing w:val="0"/>
                <w:sz w:val="24"/>
                <w:szCs w:val="24"/>
                <w:highlight w:val="none"/>
              </w:rPr>
            </w:pP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В ходе декларационной кампании 2022 года государственные гражданские служащие департамента сведения о своих расходах, а также о расходах чле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нов своей семьи представляли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, а также о расходах членов своей семьи представляли</w:t>
            </w:r>
            <w:r>
              <w:rPr>
                <w:rStyle w:val="842"/>
                <w:spacing w:val="0"/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2.3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государственных гражданских служащих департамента: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проверки не проводились.</w:t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2.4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2023 года не поступало, проверки не проводились.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категории «руководители»,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и принятию профилактических мер по предотвращению конфликта интересов и мер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Случаев возникновения конфликта интересов выявлено не было, проверки не проводились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tabs>
                <w:tab w:val="left" w:pos="4005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поступающей представителю нанимателя в установленном законодательством порядке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не поступала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в практику кадровой работы правила, в соответствии с которым длитель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Осуществляется поэтапное внедрение в практику кадровой работы правила, в соответствии с которым длительн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2.8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2018 - 202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 квартале 2023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объявлено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/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проверок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 не объявлялись, 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проверок завершены.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сообщени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 заключении трудового договора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гражданином,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Еврейской автономной области в департаменте социальной защиты населения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статьей 12 Федерального закона от 25.12.2008 № 273</w:t>
              <w:br w:type="textWrapping" w:clear="all"/>
              <w:t xml:space="preserve">«О противодействии коррупции»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 наличии информации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Соблюдение ограничений, установленных статьей 12 Федерального закона от 25.12.2008 № 273 «О противодействии коррупции»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Поступило 2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уведомлени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я                     о заключении трудового договора с гражданином, замещавшим должность государственной гражданской службы в департамент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е. Подготовлены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закл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ючения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на уведомления об отсутствии нарушений.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3. Антикоррупционное образование и антикоррупционная пропаганда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3.1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создания организационно-правовых условий для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подготовлены приказы, которые периодически актуализируются </w:t>
              <w:br/>
              <w:t xml:space="preserve">в соответствии с действующим законодательством: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социальной защиты населения правительства Еврейской автономной области </w:t>
              <w:br w:type="textWrapping" w:clear="all"/>
              <w:t xml:space="preserve">от 22.07.2022 № 1928/22 </w:t>
              <w:br w:type="textWrapping" w:clear="all"/>
              <w:t xml:space="preserve">«Об утверждении Порядка уведомления представителя нанимателя о 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29.08.2022 № 2276/22 </w:t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та </w:t>
              <w:br/>
              <w:t xml:space="preserve">от 02.09.2022 № 2363/22 </w:t>
              <w:br/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05.09.2022 № 2394 </w:t>
              <w:br w:type="textWrapping" w:clear="all"/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06.09.2022 № 2420 «О порядке сообщения государственными гражданскими служащими департамента социальной защиты населения правительства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Еврейской автономной области, за исключением государственных гражданских служащих, назначение на должности которых и освобождение </w:t>
              <w:br/>
              <w:t xml:space="preserve">от должности которых осуществляется губернатором Еврейской автономной области, о получении подарка в связи с протокольными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06.09.2022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№ 2421 </w:t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2431 </w:t>
              <w:br w:type="textWrapping" w:clear="all"/>
              <w:t xml:space="preserve">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08.09.2022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2432 </w:t>
              <w:br/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</w:t>
              <w:br w:type="textWrapping" w:clear="all"/>
              <w:t xml:space="preserve">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Актуализируется приказ комитета социальной защиты населения правительства Еврейской автономной области от 26.06.2017 </w:t>
              <w:br/>
              <w:t xml:space="preserve">№ 234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3.2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2023 года вводный инструктаж проведен для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граждан, поступивших на государственную гражданскую службу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3.3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инструктирования госуда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Соблюдение законодательства о противодействии коррупции при увольнении с государственной гражданской службы: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существляется в соответствии с приказами комитета социальной защиты населения правительства области от 01.10.2009 № 202 и от 10.02.2014 № 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але 2023 инструктаж проведен с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гражданским служащим департамента, планирующим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гражданской службы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4.22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государственных гражданских служащих департамента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проводилась.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государственных гражданских служащих департамента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запланировано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 квартале 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16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повышения квалификации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повышение квалификации не проводилось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скую службу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 замещения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должностей включенных в перечень должностей,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образовательным программам в области противодействия коррупции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обучения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проведены семинары: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противодействия коррупции для руководителей областных государственных учреждений, функции и полномочия которых осуществ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ляет департамент социальной защиты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Еврейской автономной области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 «Оценка коррупционных рисков».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br/>
              <w:t xml:space="preserve">2. «Конфликт интересов в областном государственном бюджетном учреждении. Выявление и урегулирование конфликта интересов. Особенности нормативного правового регулирования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Порядок сообщения о возникновении личной заинтересованности, которая приводит или может привести </w:t>
              <w:br/>
              <w:t xml:space="preserve">к конфликту интересов»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708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вопр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осам противодействия коррупции для государственных граждански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служащих департамента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защиты населения правительства Еврейской автономной области по теме: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Правовое положение федерального государственного служащего. Факторы, влияющие на коррупционное поведение федерального государственного служащего. Основные формы проявления коррупции в системе государственной службы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2.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Ограничения и запреты, связанные с гражданской службой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3.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Предотвращение, выявление и урегулирование конфликта интересов на государственной службе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5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2018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квартале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научно-практических конференций по вопросам реализации государственной политики в области противодействия коррупции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Противодействие коррупции при размещении государственных заказов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эффективности организации проведения государственных закупок. Проведение не менее </w:t>
              <w:br w:type="textWrapping" w:clear="all"/>
              <w:t xml:space="preserve">1 семинара в год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семинары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вопросам законодательства в сфере закупок товаров, работ, услуг для учреждений, функции и полномочия учредителя которых осуществляет департамент, не проводились.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сводной информации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 осуществленным закупкам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Ежеквартально 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не менее 1 сводной информации в год о ситуации с размещением заказов для государственных нужд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подготовлена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сводная информация по осуществленным закупкам за 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 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учетом закупок учреждений, функции и полномочия учредителя которых осуществляет департамент, указанная информация будет направлена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 по регулированию контрактной системы в сфере закупок правительства Еврейской автономной области.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законодательства о размещении заказов для государственных нужд путем проведения плановых и внеплановых проверок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отдельному плану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Своевременное выявление несоблюдения законодательства о размещении заказов для государственных нужд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проведена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плановая проверка соблюдения законодательства Российской Федерации о контрактной системе </w:t>
              <w:br/>
              <w:t xml:space="preserve">в сфере закупок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ОГБУ «Валдгеймский  детский дом-интернат для умственно отсталых  детей» (июнь 2023 года).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соответствии с графиком проведен я ведомственного контроля в сфере закупок для обеспе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чения государственных  нужд Еврейской автономной области в отношении  учреждений, функции и полномочия которых  осуществляет  департамент  социальной защиты населения правительства Еврейской автономной области на 2023 год запланировано проведение проверки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ОГБУ «Хинганский дом-интернат для престарелых и инвалидов» (октябрь 2023 год).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Экспертиза нормативных правовых актов области и их проектов с целью выявления в них положений, способствующих проявлению коррупции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проведения независимой антикоррупционной экспертизы нормативных правовых актов департамента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Привлечение общественности к проведению независимой антикоррупционной экспертизы нормативных правовых актов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официальном интернет-портале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не поступало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антикоррупционной экспертизы нормативных правовых актов области, принятых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ходе осуществления мониторинга их применения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 года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антикоррупционная экспертиза проекта нормативного правового акта области в соответствии с компетенцией департамента не проводилась.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6. Противодействие коррупции в департаменте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(исполнения) государственных услуг (функций):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разработки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На 30.06.2023 департаментом разработаны и утверждены 42 приказов об утверждении административных регламентов предоставления государственных услуг. Приказы департамента об утверждении административных регламентов размещены: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- на официальном портале органов государственной власти области на странице департамента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разделе Административные регламенты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на официальном портале органов государственной власти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Работа по разработке административных регламентов ведется постоянно.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реестре государственных и муниципальных услуг (функций) Еврейской автономной области (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https://gosuslugi.eao.ru/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) размещены сведения о 75 государственных услугах сферы социальной защиты населения.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По 21 государственным услугам реализован механизм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Специалисты департамента периодически актуализируют сведения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настоящее время 16 административных регламентов департамента приводятся в соответствие с типовыми административными регламентами</w:t>
            </w:r>
            <w:r>
              <w:rPr>
                <w:highlight w:val="none"/>
                <w:lang w:val="ru-RU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ежегодно - прием 100% обращений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сообщений о фактах коррупц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ии и коррупционных проявлениях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 не поступало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и проведение пресс-конференций, брифингов, «круглых столов», выступлений в СМИ по вопросам противодействия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прозрачности деятельности органов исполнительной власти области, формируемых правительством области, в сфере противодействия коррупции.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Проведение: ежегодно - 3 пресс-конференции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2023 года пресс-конференции, брифинги, «круглые столы», выступления в СМИ по вопросам противодействия коррупции не проводились.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Своевременное обновление и напо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обновления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поддерживается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актуальном состоянии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Размещена информация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 противодействию коррупции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года.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Размещение в соответствии с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фициальн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размещения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от 08.09.2022 </w:t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  <w:br w:type="textWrapping" w:clear="all"/>
              <w:t xml:space="preserve">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white"/>
              </w:rPr>
              <w:t xml:space="preserve">В соответствии с </w:t>
            </w:r>
            <w:hyperlink r:id="rId10" w:tooltip="consultantplus://offline/ref=78F75A0944346140E452E7BACB853C9814E19B36CE08CA24BEA9242D86636067AB0921C71B35260539FCBD0684C0C47806BA6CF8DED9AB02vA29A" w:history="1">
              <w:r>
                <w:rPr>
                  <w:rStyle w:val="84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white"/>
                </w:rPr>
                <w:t xml:space="preserve">подпунктом «ж» пункта 1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white"/>
              </w:rPr>
              <w:t xml:space="preserve"> Указа Президента Российской Федерации </w:t>
            </w:r>
            <w:hyperlink r:id="rId11" w:tooltip="http://pravo.gov.ru/proxy/ips/?docbody=&amp;link_id=0&amp;nd=603637722" w:history="1">
              <w:r>
                <w:rPr>
                  <w:rStyle w:val="84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white"/>
                </w:rPr>
                <w:t xml:space="preserve">http://pravo.gov.ru/proxy/ips/?docbody=&amp;link_id=0&amp;nd=603637722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white"/>
              </w:rPr>
              <w:t xml:space="preserve">  в период проведения СВО и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</w:t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white"/>
              </w:rPr>
              <w:t xml:space="preserve">ия не осуществляются.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системы общественного контроля в различных сферах деятельности с участием представителей общественных организаций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создан постановлением губернат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ора области от 27.06.2014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Общественный совет при комитете социальной защиты населения правительства области.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Принят приказ департамента </w:t>
              <w:br w:type="textWrapping" w:clear="all"/>
              <w:t xml:space="preserve">от 22.07.2022 № 1927 </w:t>
              <w:br w:type="textWrapping" w:clear="all"/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не проводилось заседание общественного совета.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работы по формированию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государственных органах области отрицательного отношения к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соответствующем государственном органе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в органах исполнительной власти области, формируемых правительством области, обществе нетерпимого отношения к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размещение 100% информации по фактам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рована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формированию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отрицательного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коррупции с привлечением общественных объединений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Публикация в средствах массовой информации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- 1 отчет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Размещена информация                           о реализации мер                                      по противодействию коррупции в департаменте социальной защиты насе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ления правительства области 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 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2020 год - 5 статей;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2021 год - 6 статей;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2022 год - 7 статей;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2023 год - 7 статей;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2024 год - 7 статей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 соответствии с «Планом пров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 В ходе мониторинга организован ежемесячный анонимный опрос заявителей и подопечных.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По состоянию на 30.06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 областных государственных учреждениях опрошено – 943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Доля граждан, оценивающих работу органов социальной защиты населения области: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выше среднего –847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90 %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от общего кол-ва опрошенных);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средне – 93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9,9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от общего кол-ва опрошенных);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ниже среднего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аны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923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97,9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от общего кол-ва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опрошенных), не информированы 20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человека 2,1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Сталкивались ли граждане с проявлением коррупции в ОСЗН СО: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не сталкивались – 943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100 % от общего кол-ва опрошенных),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сталкивались – </w:t>
              <w:br/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(0, % от общего кол-ва опрошенных),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Оценка уровня информированности граждан о состоянии коррупции в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О: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691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человек (73,2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222 человек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23,5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ек (3,3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Оценка уровня информационной прозрачности деятель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ности ОСЗН СО: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799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85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от общего кол-ва опрошенных),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136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Symbol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  <w:t xml:space="preserve">ОГБУ «Бираканский дом-интернат»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На информационных стендах учреждения размещена Антикоррупционная политика учреждения, План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мероприятий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, номера телефонов контролирующих органов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Общее собрание работников учреждения, протокол №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12.05.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30.05.2023 проведен личный прием граждан сотрудником прокуратуры. Замечаний нет.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Постоянно ф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ормируется </w:t>
              <w:br/>
              <w:t xml:space="preserve">в коллективе обстановка нетерпимости к фактам взяточничества, проявления корыстных интересов в ущерб интересам работы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Проведение анкетирования получателей социальных услуг о проявлении коррупции в учреждении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Проведение анкетирования получателей социальных услуг о проявлении коррупции в учреждении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Подготовлена аналитическая справка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 и передача её в ДСЗН ЕАО.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Жа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лобы и обращения граждан на действия (бездействия) руководителей и работников Учреждения с точки зрения наличия сведений о фактах коррупции не поступали.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Организован личный прием директоро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м учреждения граждан по вопросам качества оказанных услуг, проведение обходов учреждения, бесед с работниками по вопросам их удовлетворенности состоянием организации рабочего процесса, и получателями СУ по вопросам удовлетворенности проживания в учреждени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и (3 раза в неделю).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Осуществлено размещение номеров телефонов контролирующих органов 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 информационных стендах).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30.05.2023 проведен личный прием граждан сотрудником прокуратуры. Замечаний нет.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Осуществляется ежемесячный контроль, со сдачей отчетов всех ответственных сотрудников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 Отчеты о расходовании бюджетных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ассигнований направлены </w:t>
              <w:br/>
              <w:t xml:space="preserve">в департамент СЗН без нарушений.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none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856"/>
              <w:ind w:left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роведен опроа заявителей (граждан) о деятельности МФЦ по противодействию коррупции </w:t>
              <w:br/>
              <w:t xml:space="preserve">в соответствии с приказом комитета социальной защиты населения правительства Еврейской автономной области (далее -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КСЗН ЕАО) от 21.09.2016 № 313.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Опрошено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  <w:u w:val="none"/>
                <w:lang w:val="ru-RU"/>
              </w:rPr>
              <w:t xml:space="preserve">348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граждан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 xml:space="preserve"> В анкетах отсутствуют сведения о коррупционных правонарушениях,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  <w:lang w:val="ru-RU"/>
              </w:rPr>
              <w:t xml:space="preserve">допущенных работниками МФЦ.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одготовлена аналитическая справка по обобщению результатов опроса учреждением населения по противодействию коррупции в сфере социальной защиты населения в Ев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рейской автономной области и передана в ДСЗН ЕАО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ежеквартальные с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правки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подготовлен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и переданы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КСЗН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ЕАО в установленные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срок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отчетный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в МФЦ из поступивших письменных обращений сведений о коррупционной составляющей работников МФЦ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не выявлено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. Не было таких сообщений и по электронной почте, а также в средствах массовой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Всего обращений граждан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за квартал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46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рганизована работа комиссии по противодей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ствию кор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упции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(заседания проводятся при выявлении фактов кор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рупционных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правонарушений) –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Осуществляется ю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ридическая антикоррупционная экспертиза документов, разрабатываемых </w:t>
              <w:br/>
              <w:t xml:space="preserve">в учреждении, на соблюдение требований законодательства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Российской Федерации в части 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ротиводействия коррупции 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В отчетном периоде пров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еден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один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ежеквартальны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семинар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(2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.2023)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для работников учреждения, посвященны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, обучено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человек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В контракты по закупкам внесена специальная оговорка, направленная на противодействие коррупции; нарушений не выявлено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В целях соблюдения антикоррупционного законодательства учреждение при осуществлении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размещения заказов на поставки товаров, выполнение работ, оказание услуг для нужд МФЦ применяет в большей степени такие формы торгов как открытый аукцион в электронной форме, что позволяет снизить возможную коррупционную составляющую при проведении торгов.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отчет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ом периоде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пров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едено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  <w:u w:val="none"/>
              </w:rPr>
              <w:t xml:space="preserve">53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закупочн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процедур на оказание услуг, выполнение работ, поставку товаров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(из них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  <w:u w:val="none"/>
              </w:rPr>
              <w:t xml:space="preserve">34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по прямым договорам)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Жалоб, заявлений и обращений по результатам торгов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, в части допущения нарушения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антикоррупционного законодательства,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не выявлено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Памятки по формированию антикоррупционного поведения и негативного отношения к коррупции у работников МФЦ и граждан, посещающих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учреждение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, а также </w:t>
            </w:r>
            <w:bookmarkStart w:id="0" w:name="undefined"/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об ответственности за коррупцию</w:t>
            </w:r>
            <w:bookmarkEnd w:id="0"/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т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иражированы и распространены </w:t>
            </w:r>
            <w:r>
              <w:rPr>
                <w:rFonts w:ascii="Times New Roman" w:hAnsi="Times New Roman"/>
                <w:b w:val="0"/>
                <w:color w:val="c00000"/>
                <w:sz w:val="22"/>
                <w:szCs w:val="22"/>
                <w:u w:val="none"/>
                <w:lang w:val="ru-RU"/>
              </w:rPr>
              <w:t xml:space="preserve">126</w:t>
            </w:r>
            <w:r>
              <w:rPr>
                <w:rFonts w:ascii="Times New Roman" w:hAnsi="Times New Roman"/>
                <w:b w:val="0"/>
                <w:color w:val="c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памят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о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к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Н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официальном сайте МФЦ размещена информация о работе данного телефона, приказом по МФЦ от 11.07.2016 № 112 утверждено положение о работе указанной обратной связи с гражданами.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Обращений не поступало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.</w:t>
            </w:r>
            <w:r>
              <w:rPr>
                <w:sz w:val="22"/>
                <w:szCs w:val="22"/>
                <w:u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В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должностные инструкции и состав трудового договора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, заключенного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с работником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учреждения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внесен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а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соответствующ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информация,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содержащ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обязанность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участи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я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работника в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 противодействии коррупции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.</w:t>
            </w:r>
            <w:r>
              <w:rPr>
                <w:sz w:val="22"/>
                <w:szCs w:val="22"/>
                <w:u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П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ри приеме на работу в учреждение кандидаты на заключение с ними трудового договора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знакомятся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.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/>
                <w:bCs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Ведется и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нформирование на общих собраниях  работников о фактах коррупционных правонарушений, зафиксированных в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 учреждении (гражданами, работниками учреждения, контрагентами, надзорными органами и пр.) – 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в течение отчетного периода фактов коррупционных правонарушений не выявлено</w:t>
            </w:r>
            <w:r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 xml:space="preserve">.</w:t>
            </w:r>
            <w:r>
              <w:rPr>
                <w:sz w:val="22"/>
                <w:szCs w:val="22"/>
                <w:u w:val="none"/>
              </w:rPr>
            </w:r>
            <w:r/>
          </w:p>
          <w:p>
            <w:pPr>
              <w:pStyle w:val="858"/>
              <w:jc w:val="both"/>
              <w:spacing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Проводится к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нсультирование работников 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 о деятельности учреждения по противодействию коррупции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 xml:space="preserve">обращений за консультациями не поступало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 xml:space="preserve">, </w:t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 целью антикоррупционного просвещения работников МФЦ и граждан, всестороннего рассмотрения и изучения нормативных документов в сфере про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тиводействия коррупции, в т.ч. полученные  из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 вкладок, в которых размещены и обновляются памятки для гра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(в соответствии с 59-ФЗ «О порядке обращений граждан в Российской Федерации» от 02.05.2006). 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ОГОБУ «Детский дом №2»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Проведён опрос и подготовлена  аналитическая справка по обобщению результатов опроса сотрудников учреждения по противодействию коррупции в сфере социальной защиты населения в Еврейской автономной области и передана в ДСЗН ЕАО –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В анкетах отсутствуют сведения о коррупционных правонарушениях, допущенных работниками детского дома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квартале обращений граждан, организаций, содержащих сведения о коррупционных правонарушениях, совершенных  работниками учреждения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не поступало.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  <w:t xml:space="preserve">Участие в обсуждении хода реализации мероприятий, направленных на противодействие к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u w:val="none"/>
                <w:lang w:eastAsia="ru-RU"/>
              </w:rPr>
              <w:t xml:space="preserve">оррупции, на заседаниях коллегии ДСЗН ЕАО – 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u w:val="none"/>
                <w:lang w:eastAsia="ru-RU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Оформлен 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нформационный стенд «Противодействие коррупции»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обновляется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мере поступления информации)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размножение буклетов «Может оказаться и твоя рука»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  <w:br/>
              <w:t xml:space="preserve">(35 шт).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Фактов коррупционных правонарушений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не выявлено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Проведено ознакомление вновь прибывших воспитанников с Уставом детского дома, Правилами внутреннего распорядка, правилами поведения воспитанников  -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воспитанниками (с 14 лет)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проведены ряд воспитательных часов, например,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воспитательные часы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Интеллектуально-познавательная викторина «Коррупции НЕТ!», конкурс рисунков «Антикоррупция»;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беседа-презентация «Мы против коррупции»;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беседы о недопущении коррупционных проявлений и где они встречаются.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Осуществлён контроль за обоснованностью предоставления и расходования безвозмездной (спонсорской, благотворительной) помощи.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ind w:firstLine="708"/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субсидии во втором квартале 2023 поступили в соответствии с графиком в объеме 4 061, 286 тыс.руб. В рамках подготовки ЛОЛ «Юннаты» к летнему оздоровительному сезону выполнены  ремонтные  работы, медосмотр персонала.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ind w:firstLine="708"/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Заключены контракты по результатам аукционов на приобретение: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Сковороды опрокидывающейся, шкаф жарочный, универсальная кухонная машина на сумму </w:t>
              <w:br/>
              <w:t xml:space="preserve">309,0 тыс.руб,, вода бутилированная на сумму 279,2 тыс.руб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Приобретены строительные материалы на сумму 632,1 тыс.руб, расходные материалы для замены изношенных запчастей 372,5 тыс руб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Капитальные вложения в строительство двух беседок и туалета составили 175,1 тыс.руб.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Жалоб, заявлений и обращений по результатам торгов, в части допущения нарушения антикоррупционного законодательства,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не выявлено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официальном сайте  детского дома размещена информация о работе данного телефона.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Обращений не поступало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групповых уголках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размещена информация о службе «Телефон доверия», проведены информационные часы – 21 раз;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и актуализация должностных инструкций для работников учреждения, включение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них пунктов, направленных на противодействие коррупции – в должностные инструкции и состав трудового договора, заключенного с работником учреждения, внесена соответствующая информация, содержащая обязанность участия работника в противодействии коррупции.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Ознакомление работников учреждения с документами, направленными на антикоррупционную деятельность – при приеме на работу в учреждение кандидаты на заключение с ними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трудового договора знакомятся 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др.документы).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Информирование на общих собраниях  работников о фактах коррупционных правонарушений, зафиксированных в  учреждении (гражданами, работниками учреждения, контрагентами, надзорными органами и пр.)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в течение отчетного периода фактов коррупционных правонарушений не выявлено.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Консультирование работников и граждан о деятельности учреждения по вопросам противодействия коррупции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обращений за консультациями не поступало.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План мероприятий по противодействию коррупции в учреждении на 2023 год подготовлен в установленные сроки, утвержден приказом от 30.12.2022 № 343, размещен на сайте учреждения и на информационном стенде по противодействию коррупции.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Подготовка отчетов о противодействии коррупции в учреждении –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отчеты подготавливались в установленные сроки.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отчетном периоде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– 2 квартал </w:t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2023 года проверок соблюдения федерального законодательства в сфере противодействия коррупции органами прокуратуры, правоохранительными органами, ДСЗН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не проводилось.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  <w:framePr w:hSpace="180" w:wrap="around" w:vAnchor="text" w:hAnchor="margin" w:yAlign="top"/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ОГБУСО «СРЦН»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роведен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опрос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граждан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противодействию коррупции в сфере социальной защиты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widowControl w:val="off"/>
              <w:rPr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30.06.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2023 подготовлена и направлена в ДСЗН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аналитическ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справк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обобщению результатов опроса учреждением населения по противодействию коррупции в сфере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социальной защиты населения в Еврейской автономной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rPr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Фактов коррупции, конфликтов интересов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выявлено.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обращений граждан и организаций, содержащих сведения о коррупционных правонарушениях, совершенных  сотрудниками учреждения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адрес директора учреждения не поступало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pStyle w:val="83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связи с отсутствием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фактов коррупционных правонарушений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заседаний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комисси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противодействию коррупции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проводилось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3"/>
              <w:jc w:val="both"/>
              <w:spacing w:after="0"/>
              <w:widowControl w:val="off"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вопрос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противодействи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коррупции</w:t>
              <w:br/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рамках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работы «Телефона доверия»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поступало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63"/>
              <w:jc w:val="both"/>
              <w:spacing w:after="0"/>
              <w:widowControl w:val="off"/>
              <w:rPr>
                <w:rFonts w:ascii="Times New Roman" w:hAnsi="Times New Roman"/>
                <w:sz w:val="22"/>
                <w:szCs w:val="22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 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квартале 2023 года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связи </w:t>
              <w:br/>
              <w:t xml:space="preserve">с отсутствием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фактов коррупционных правонарушений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нформирование на общих собраниях сотрудников о фактах коррупционных правонарушений, зафиксированных в учреждении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проводилось</w:t>
            </w: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холле первого этажа на стенде размещена информация о работе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«Телефона доверия»   по вопросам противодействия коррупции </w:t>
              <w:br/>
              <w:t xml:space="preserve">в учреждении.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highlight w:val="none"/>
              </w:rPr>
              <w:t xml:space="preserve">ОГБУ «Биробиджанский психоинтернат»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28.06.2023 в адрес Департамента социальной защиты населения направлен отчет за 2 квартал 2023 года.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квартале 2023 года обращений граждан и организаций, содержащих сведения о коррупционных правонарушениях, совершенных работниками учреждения не было.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квартале 2023 года была проведена правовая экспертиза более 20 проектов локальных правовых актов, связанных с основной деятельностью учреждения, затрагивающие вопросы противодействия коррупции.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Проведена правовая экспертиза 59 контрактов на поставку товаров (работ, услуг), 5 договоров гражданско-правового характера.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квартале 2023 года взаимодействие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взаимодействия с правоохранительными органами, органами прокуратуры, иными государственными органами и организациями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не осуществлялось вследствие отсутствия необходимости.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квартале 2023 проверок по факту нарушения кодекса этики и служебного поведения работников не проводилось.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отрудниками отдела кадров проводится работа, направленная на выявление недостоверности сведений граждан, поступающих на работу в учреждение. В 2 квартале 2023 года принято 6 работников. Фактов предоставления недостоверных или искаженных сведений не выявлен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Разработка и актуализация должностных инструкций для работников учреждения, включение в них пунктов, направленных на противодействие коррупции» проводится своевременно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на основании изменения нормативной базы в области антикоррупционной деятельности или при поступлении рекомендаций вышестоящих органов.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Ознакомление работников учреждения под роспись с документами, направленными на антикоррупционную деятельность в учреждении проводится при издании приказов, локальных нормативных актов учреждением. Принимаемые на работу граждане знакомятся с документами при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оформлении на работу сотрудниками отдела кадров.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нформация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 размещена на информационных стендах учреждения. Руководители структурных по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дразделений не реже одного раза в месяц проводят инструктажи с подчиненных персоналом на рабочих местах.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Разъяснительные мероприятия по антикоррупционному просвещению проводятся руководителями структурных подразделений не реже одного раза в месяц. В течение второго квартала проведено 16 бесед с работниками.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 администрации и на информационных стендах в корпусах учреждения размещены материалы содержащие информацию о комиссии по противодействию коррупции, положение о комиссии по противодействию коррупции, график приема директора и заместителей директора учрежден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ия, информация о порядке и правилах обращения при получении информации о совершении коррупционных правонарушений, другая информации антикоррупционной направленности.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квартале 2023 года фактов коррупционных правонарушений не выявлялось, информирование работников не проводилось.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Контроль за выполнением контрактных обязательств проводится контрактной службой, утвержденной приказом директора учреждения.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акупки в учреждении проводятся на основании ценовых предложений поставщиков и анализа сложившихся рыночных цен. В ходе подготовки закупки контрактная служба проверяет полноту предоставленных инициатором контракта документов, в том числе анализ начальной (м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ксимальной) цены контракта. Рассмотрение результатов закупки проводится комиссией, назначенной приказом директора учреждения и мнения каждого члена комиссии в итоговом протоколе рассмотрения результатов проведения процедуры. За прошедший квартал было прове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дено и рассмотрено 86 конкурентных закупок. В ходе рассмотрения 15 участников закупок были отклонены по условиям требований аукционной документации, из них 3 победителя конкурентной закупки.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се закупки, проводимые согласно ФЗ-44 от 05.04.2013 «О контрактной системе в сфере закупок товаров, работ, услуг для обеспечения государственных и муниципальных нужд» проводятся строго в рамках требования федерального закона. Все проводимые процедуры по за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упке в обязательном порядке содержат анализ рыночных цен на закупаемый товар, работу или услугу, а также ценовые предложения потенциальных поставщиков и участников закупки. На основании этого формируется объективная НМЦК и используется для проведения проце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дуры закупки.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сновная часть закупок для нужд учреждения проводится в форме электронного аукциона на торговой площадке согласно ФЗ-44 от 05.04.2013 «О контрактной системе в сфере закупок товаров, работ, услуг для обеспечения государственных и муниципальных нужд». В перво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квартале 2023 года проведено 86 конкурентных закупок для нужд учреждения посредством проведения аукциона в электронной форме на сумму 44,929 млн. рублей. Закуплены необходимые медикаменты, продукты питания, ГСМ, оборудование. Закупки у единственного поста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щика за этот период составили 1,728 млн. рублей. Учреждение приобретало средства индивидуальной защиты, проводило обучение работников по повышению квалификации, закупались необходимые запасные части для ремонта автомобильной техники и кухонного оборудовани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я, то есть те предметы, скорая необходимость закупки которых была обусловлена спецификой функционирования учреждения.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Контроль за выполнением мероприятий, направленных на противодействие коррупции в учреждении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роводится комиссией по комиссии по противодействию коррупции в точном соответствии с планом мероприятий по противодействию коррупции областного государственного бюджетного учреждения «Биробиджанский психоневрологический интернат» от 21.01.2023. Также, сред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работников учреждения распространяются анкетные листы с перечнем вопросов антикоррупционной направленности. На основании анализа опросных листов принимаются те или иные меры реагирования, или разрабатываются дополнительные мероприятия, проводятся служебны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е расследования. Эффективность выполнения плана мероприятий по противодействию коррупции будет рассмотрена по итогам работы первого полугодия при директоре учреждения.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По итогам функционирования учреждения во 2 квартале 2023 года фактов коррупционных правонарушений не выявлено, обращений граждан, организаций не поступало. Мероприятия план по противодействию коррупции проводились в полном объеме.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рием по личным вопросам директором учреждения и его заместителя проводился регулярно. В течение 2 квартала 2023 года принято около 12 работников и граждан. Обращения содержали вопросы по порядку нахождения родственников в учреждении, о порядке помещения не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ееспособных граждан в учреждения, о порядке начисления оплаты за предоставление социальных услуг в учреждении, порядок начисления заработной платы, возможность переноса ежегодных отпусков, условия труда на рабочем месте и пр. По все вопросам даны разъяснен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ия. В письменном ответе не нуждаются.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нформация, касающаяся деятельности структурных подразделений, содержащаяся в обращении граждан доводится до сведений руководителей структурных подразделений в проведения рабочих совещаний при директоре учреждения. Руководителям подразделений даются поручен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ия по доведению информации до работников в части касающейся, а также о принятии мер либо усилении контроля за выполнением мероприятий по оказанию социальных услуг и организации деятельности подразделения в соответствии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 поставленными задачами с последующим контрольных сроком отчета о выполнении.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ониторинг обращений и заявлений проводится комиссией по противодействию коррупции согласно «Журналу регистрации обращения граждан». За 2 квартал 2023 года изучено 39 заявлений. Информации о фактах коррупции со стороны работников учреждения в заявлениях не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содержится. Устных заявлений граждан по факту коррупционной деятельности работников учреждения не поступало.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t xml:space="preserve">ОГБУ «Валдгеймский детский дом-интернат»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целью установления порядка оценки коррупционных рисков при осуществлении закупок, товаров, работ, услуг разработано и утверждено «Положение об оценке коррупционных рисков при осуществлении закупок товаров, работ и услуг в ОГБУ «Валдгеймский детский дом-ин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тернат»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За отчетный период 2023 года в ОГБУ «ВДДИ» письменных обращений от граждан о коррупционной составляющей работников учреждении не поступало. Также не было таких сообщений в средствах массовой информации и по электронной почте.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Работа комиссии по противодействию коррупции не была организована, т.к. отсутствовали факты коррупционных правонарушений.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 отчетном периоде проведен ежеквартальный семинар для работников учреждения, посвященный вопросам противодействия коррупции «Принципы противодействия коррупции в РФ»; обучено 12 человек.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учреждения, ОГБУ «ВДДИ» применяет такую форму торгов как открытый аукцион в электронной фор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ме, что позволяет снизить возможную коррупционную составляющую при проведении торгов. Жалоб, заявлений и обращений по результатам торгов, в части допущения нарушения антикоррупционного законодательства, не выявлено.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Обращений от работников и граждан за консультациями по вопросам противодействия коррупции в учреждение не поступало.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 отчетном периоде 2023 года проверок соблюдения федерального законодательства в сфере противодействия коррупции органами прокуратуры, правоохранительными органами, ДСЗН не проводилось.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 xml:space="preserve">ОГБУ «КЦСО ЕАО»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План по противодействию коррупции реализован в полном объеме в соответствии со сроками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 гражданами, впервые трудоустроившихся проводится вводный инструктаж по вопросам противодействия коррупции, знакомство с положением об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нтикоррупционной политике, кодексом этики и служебного поведения работников ОГБУ «КЦСО ЕАО». За отчетный период 13 человек прошли водный инструктаж, ознакомились с положением об антикоррупционной политике, кодексом этики и служебного поведения работников 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ГБУ «КЦСО ЕАО».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 2 квартале 2023 года ознакомлено с Постановлением правительства ЕАО от 14.03.2018 года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№ 82 -пп О государственной программе ЕАО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«Профилактика правонарушений и преступлений 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ЕАО» на 2018-2024 годы ознакомлено 214 сотрудников Ежеквартально сотрудниками организационно-методического отделения оказывается методическая помощь структурным подразделениям и работникам ОГБУ «КЦСО ЕАО» по вопросам противодействия коррупции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Уведомлений о фактах обращения в целях склонения должностных лиц Учреждения к совершению коррупционных правонарушений за отчетный период не поступало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Ежегодно с сотрудниками и вновь принятыми сотрудниками проводится ознакомление с кодексом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этики и служебного поведения работников Учреждения. За 2 квартал 2023 года 13 сотрудников ознакомились с кодексом этики и служебного поведения работников Учреждения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Недопущение нарушений сотрудниками Центра ограничений и обязанностей при выполнении трудовых обязанностей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На официальном сайте учреждения размещена памятка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об ограничениях, запретах и обязанностях, установленных в целях противодействия коррупции, 2023 год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Отчеты по противодействию коррупции подготавливаются в установленные сроки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Проведен мониторинг состояния и эффективности противодействия коррупции в учреждении, на официальном сайте Учреждения размещены результаты мониторинга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Ежеквартально с подопечными проводится мониторинг по противодействию коррупции, по результатам которого составляется отчет, за 2 квартал 2023 года опрошено 272 человека, коррупциногенных факторов не выявлено.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Осуществление конкурентных способов закупок в форме электронного аукциона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своевременное размещение плана закупок, плана-графика на официальном сайте, внесение в план закупок и план-график изменений по каждому объекту закупки, размещение в единой информационной системе в сфере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акупок информации и документов, обязательное размещение которых предусмотрено законодательством Российской Федерации о контрактной системе в сфере закупок (информации, содержащей сведения о заключении контрактов; информации, содержащей сведения об исполнен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ии контрактов (отдельных этапов).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Допущение неофициальной отчетности и использование поддельных документов за отчетный период не выявлено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Отчеты о реализации мероприятий, предусмотренных настоящим планом мероприятий по противодействию коррупции в ОГБУ «КЦСО ЕАО» предоставляются в департамент социальной защиты населения правительства области в установленные сроки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Аналитическая справка по обобщению результатов опросов населения по противодействию коррупции в ОГБУ «КЦСО ЕАО» предоставляются в департамент социальной защиты населения правительства области в установленные сроки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За отчетный период с руководителями структурных подразделений, заведующими филиалов области, социальными работниками обучающие семинары по антикоррупционному просвещению не проводились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На сайте ОГБУ «КЦСО ЕАО» размещены нормативноправовые акты по противодействию коррупции, региональные документы по противодействию коррупции, локальные нормативные акты, регламентирующие деятельность Учреждения по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противодействию коррупции, методические материалы, план мероприятий по противодействию коррупции на 2023 год. Информация о деятельности Центра постоянно обновляется и пополняется.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За отчетный период разработана памятка об ограничениях, запретах и обязанностях, установленных в целях противодействия коррупции, 2023 год.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ри приеме на работу в учреждение кандидаты на заключение с ними трудового договора знакомятся с инструкцией но противодействию коррупции в учреждении, что подтверждается личной подписью и датой ознакомления с документом (антикоррупционная политика, кодекс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этики и служебного поведения и др. документы).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За 2 квартале 2023 года 13 сотрудников ознакомлены с инструкцией по противодействию коррупции в Учреждении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целью антикоррупционного просвещения работников ОГБУ «КЦСО ЕАО» и граждан, всестороннего рассмотрения и изучения нормативных документов в сфере противодействия коррупции, в т.ч. полученные из ДСЗН и в результате изучения СМИ на постоянной основе функциони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ует специализированный стенд «Антикоррупционная деятельность в ОГБУ «КЦСО ЕАО» с наполнением вкладок, в которых размещены и обновляются памятки для граждан и работников ОГБУ «КЦСО ЕАО», нормативные документы КЦСО ЕАО, направленные на противодействие корруп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ции.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t xml:space="preserve">ОГБОУ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t xml:space="preserve">«Детский дом №1»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  <w:t xml:space="preserve">I. Нормативное правовое обеспечение противодействия коррупции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Размещен на официальном сайте план финансово-хозяйственной деятельности и отчета о его исполнении.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Размещен на официальном сайте отчета о выполнении госзадания за 2 квартал.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Осуществляется контроль над соблюдением требований, установленных Федеральным законом № 44-ФЗ «О размещении заказов на поставки товаров, выполнение работ, оказание услуг для государственных и муниципальных нужд».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Контроль над заключением трудовых договоров с гражданами, принимаемыми на работу в детский дом.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II. Мероприятия по совершенствованию управления в целях предупреждения коррупции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Обеспечивается информационная открытость образовательной деятельности в части антикоррупционного просвещения воспитанников.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Осуществляется анализ наличия и соответствия законодательству локальных нормативных актов ОУ, устанавливающих системы доплат и надбавок стимулирующего характера и системы премирования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Обеспечивается соблюдение правил приема, перевода и отчисления воспитанников.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Выполняются цели и задачи Годового плана работы детского дома на 2 квартал 2023 года.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Подготовлен доклад ОГОБУ «Детский дом №1» «О выполнении показателей эффективности деятельности руководителя» за </w:t>
              <w:br/>
              <w:t xml:space="preserve">2 квартал 2023 года.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III. Мероприятия по правовому формированию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  <w:t xml:space="preserve">антикоррупционного мировоззрения воспитанников.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Школьный возраст (7-15 лет).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Воспитательные часы «Что такое коррупция?», «Без коррупции </w:t>
              <w:br/>
              <w:t xml:space="preserve">с детства».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Реализация парциальной программы «Тропинка в экономику».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IV Мероприятия с работниками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Поведена деловая игра «Противодействие коррупции учреждении».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Разработана памятка «Мы против коррупции».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Исполь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в качеств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</w:t>
              <w:br/>
              <w:t xml:space="preserve">в целях противодействия коррупции не использовались.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коррупционных рисков при исполнении должностных обязанностей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2023 года анализ оценк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коррупционных рисков, возникающих при реализации полномочий, государственными гражданским служащими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2023 года социальные акции, направленные на развитие антикоррупционного мировосприятия не проводились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7.12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2023 года социальные акции, направленные на развитие антикоррупционного мировосприятия не проводились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предупреждение подобных фактов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объективной информации об отношении граждан к деятельности департамента социальной защиты населения правительства области. Рассмотрение 100 процентов поступивших обращений граждан 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Обращения подобного содержания не поступали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отчета о выполнении Плана мероприятий департамента социальной защиты населения правительства Еврейской автономной области по против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одействию коррупции на 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на заседаниях Общественного совета при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информация не рассматривалась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тиводействия коррупции на 2018 </w:t>
            </w:r>
            <w:r>
              <w:rPr>
                <w:rFonts w:ascii="Symbol" w:hAnsi="Symbol" w:eastAsia="Symbol" w:cs="Symbo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Департамента социальной защиты населения правительства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highlight w:val="none"/>
              </w:rPr>
            </w:r>
            <w:r/>
          </w:p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2023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привлечение общественности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независимой экспертизе проектов планов противодействия коррупции не проводилось</w:t>
            </w:r>
            <w:r>
              <w:rPr>
                <w:highlight w:val="none"/>
              </w:rPr>
            </w:r>
            <w:r/>
          </w:p>
        </w:tc>
      </w:tr>
    </w:tbl>
    <w:sectPr>
      <w:headerReference w:type="default" r:id="rId9"/>
      <w:footnotePr/>
      <w:endnotePr/>
      <w:type w:val="nextPage"/>
      <w:pgSz w:w="15840" w:h="12240" w:orient="landscape"/>
      <w:pgMar w:top="1134" w:right="851" w:bottom="1134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  <w:p>
    <w:pPr>
      <w:pStyle w:val="8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110" w:hanging="405"/>
        <w:tabs>
          <w:tab w:val="num" w:pos="11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Основной текст"/>
    <w:basedOn w:val="834"/>
    <w:next w:val="838"/>
    <w:link w:val="839"/>
    <w:pPr>
      <w:jc w:val="both"/>
      <w:widowControl/>
    </w:pPr>
    <w:rPr>
      <w:rFonts w:ascii="Times New Roman" w:hAnsi="Times New Roman" w:cs="Times New Roman"/>
      <w:sz w:val="26"/>
      <w:szCs w:val="20"/>
    </w:rPr>
  </w:style>
  <w:style w:type="character" w:styleId="839">
    <w:name w:val="Основной текст Знак"/>
    <w:next w:val="839"/>
    <w:link w:val="838"/>
    <w:rPr>
      <w:sz w:val="26"/>
      <w:lang w:val="ru-RU" w:eastAsia="ru-RU" w:bidi="ar-SA"/>
    </w:rPr>
  </w:style>
  <w:style w:type="paragraph" w:styleId="840">
    <w:name w:val="Верхний колонтитул"/>
    <w:basedOn w:val="834"/>
    <w:next w:val="840"/>
    <w:link w:val="841"/>
    <w:pPr>
      <w:tabs>
        <w:tab w:val="center" w:pos="4677" w:leader="none"/>
        <w:tab w:val="right" w:pos="9355" w:leader="none"/>
      </w:tabs>
    </w:pPr>
  </w:style>
  <w:style w:type="character" w:styleId="841">
    <w:name w:val="Верхний колонтитул Знак"/>
    <w:next w:val="841"/>
    <w:link w:val="840"/>
    <w:rPr>
      <w:rFonts w:ascii="Arial" w:hAnsi="Arial" w:cs="Arial"/>
      <w:sz w:val="18"/>
      <w:szCs w:val="18"/>
      <w:lang w:val="ru-RU" w:eastAsia="ru-RU" w:bidi="ar-SA"/>
    </w:rPr>
  </w:style>
  <w:style w:type="character" w:styleId="842">
    <w:name w:val="Font Style38"/>
    <w:next w:val="842"/>
    <w:link w:val="834"/>
    <w:rPr>
      <w:rFonts w:ascii="Times New Roman" w:hAnsi="Times New Roman" w:cs="Times New Roman"/>
      <w:spacing w:val="20"/>
      <w:sz w:val="26"/>
      <w:szCs w:val="26"/>
    </w:rPr>
  </w:style>
  <w:style w:type="paragraph" w:styleId="843">
    <w:name w:val="Обычный (веб)"/>
    <w:basedOn w:val="834"/>
    <w:next w:val="843"/>
    <w:link w:val="834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844">
    <w:name w:val="Font Style11"/>
    <w:next w:val="844"/>
    <w:link w:val="834"/>
    <w:uiPriority w:val="99"/>
    <w:rPr>
      <w:rFonts w:ascii="Times New Roman" w:hAnsi="Times New Roman" w:cs="Times New Roman"/>
      <w:sz w:val="26"/>
      <w:szCs w:val="26"/>
    </w:rPr>
  </w:style>
  <w:style w:type="paragraph" w:styleId="845">
    <w:name w:val="Style5"/>
    <w:basedOn w:val="834"/>
    <w:next w:val="845"/>
    <w:link w:val="834"/>
    <w:pPr>
      <w:jc w:val="both"/>
      <w:spacing w:line="317" w:lineRule="exact"/>
    </w:pPr>
    <w:rPr>
      <w:rFonts w:ascii="Times New Roman" w:hAnsi="Times New Roman" w:cs="Times New Roman"/>
      <w:sz w:val="24"/>
      <w:szCs w:val="24"/>
    </w:rPr>
  </w:style>
  <w:style w:type="paragraph" w:styleId="846">
    <w:name w:val="Текст выноски"/>
    <w:basedOn w:val="834"/>
    <w:next w:val="846"/>
    <w:link w:val="834"/>
    <w:semiHidden/>
    <w:rPr>
      <w:rFonts w:ascii="Tahoma" w:hAnsi="Tahoma" w:cs="Tahoma"/>
      <w:sz w:val="16"/>
      <w:szCs w:val="16"/>
    </w:rPr>
  </w:style>
  <w:style w:type="character" w:styleId="847">
    <w:name w:val="Гиперссылка"/>
    <w:next w:val="847"/>
    <w:link w:val="834"/>
    <w:rPr>
      <w:color w:val="0000ff"/>
      <w:u w:val="single"/>
    </w:rPr>
  </w:style>
  <w:style w:type="paragraph" w:styleId="848">
    <w:name w:val="Основной текст с отступом"/>
    <w:basedOn w:val="834"/>
    <w:next w:val="848"/>
    <w:link w:val="849"/>
    <w:pPr>
      <w:ind w:left="283"/>
      <w:spacing w:after="120"/>
    </w:pPr>
  </w:style>
  <w:style w:type="character" w:styleId="849">
    <w:name w:val="Основной текст с отступом Знак"/>
    <w:next w:val="849"/>
    <w:link w:val="848"/>
    <w:rPr>
      <w:rFonts w:ascii="Arial" w:hAnsi="Arial" w:cs="Arial"/>
      <w:sz w:val="18"/>
      <w:szCs w:val="18"/>
    </w:rPr>
  </w:style>
  <w:style w:type="paragraph" w:styleId="850">
    <w:name w:val="ConsPlusTitle"/>
    <w:next w:val="850"/>
    <w:link w:val="834"/>
    <w:pPr>
      <w:widowControl w:val="off"/>
    </w:pPr>
    <w:rPr>
      <w:rFonts w:ascii="Calibri" w:hAnsi="Calibri" w:eastAsia="Calibri" w:cs="Calibri"/>
      <w:b/>
      <w:sz w:val="22"/>
      <w:lang w:val="ru-RU" w:eastAsia="ru-RU" w:bidi="ar-SA"/>
    </w:rPr>
  </w:style>
  <w:style w:type="paragraph" w:styleId="851">
    <w:name w:val="ConsPlusNormal"/>
    <w:next w:val="851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52">
    <w:name w:val="fontstyle01"/>
    <w:next w:val="852"/>
    <w:link w:val="834"/>
    <w:rPr>
      <w:rFonts w:ascii="Times New Roman" w:hAnsi="Times New Roman" w:cs="Times New Roman"/>
      <w:color w:val="000000"/>
      <w:sz w:val="24"/>
      <w:szCs w:val="24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  <w:style w:type="paragraph" w:styleId="856" w:customStyle="1">
    <w:name w:val="Абзац списка"/>
    <w:basedOn w:val="852"/>
    <w:uiPriority w:val="9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7" w:customStyle="1">
    <w:name w:val="Основной текст (4)"/>
    <w:basedOn w:val="852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1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8" w:customStyle="1">
    <w:name w:val="Основной текст (3)"/>
    <w:basedOn w:val="852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Body Text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60" w:customStyle="1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styleId="861" w:customStyle="1">
    <w:name w:val="Body Text"/>
    <w:uiPriority w:val="99"/>
    <w:unhideWhenUsed/>
    <w:pPr>
      <w:contextualSpacing w:val="0"/>
      <w:ind w:left="0" w:right="0" w:hanging="34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7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Основной текст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78F75A0944346140E452E7BACB853C9814E19B36CE08CA24BEA9242D86636067AB0921C71B35260539FCBD0684C0C47806BA6CF8DED9AB02vA29A" TargetMode="External"/><Relationship Id="rId11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revision>175</cp:revision>
  <dcterms:created xsi:type="dcterms:W3CDTF">2014-09-26T04:44:00Z</dcterms:created>
  <dcterms:modified xsi:type="dcterms:W3CDTF">2023-07-04T06:48:11Z</dcterms:modified>
  <cp:version>917504</cp:version>
</cp:coreProperties>
</file>