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jc w:val="center"/>
        <w:rPr>
          <w:b/>
        </w:rPr>
      </w:pPr>
      <w:r>
        <w:rPr>
          <w:b/>
        </w:rPr>
        <w:t xml:space="preserve">Аналитическая справка по обобщению результатов опроса населения</w:t>
      </w:r>
      <w:r/>
    </w:p>
    <w:p>
      <w:pPr>
        <w:pStyle w:val="601"/>
        <w:jc w:val="center"/>
        <w:rPr>
          <w:b/>
        </w:rPr>
      </w:pPr>
      <w:r>
        <w:rPr>
          <w:b/>
        </w:rPr>
        <w:t xml:space="preserve">по противодействию коррупции в </w:t>
      </w:r>
      <w:r>
        <w:rPr>
          <w:b/>
        </w:rPr>
        <w:t xml:space="preserve">сфере</w:t>
      </w:r>
      <w:r>
        <w:rPr>
          <w:b/>
        </w:rPr>
        <w:t xml:space="preserve"> социальной защиты населения Еврейской автономной области</w:t>
      </w:r>
      <w:r>
        <w:rPr>
          <w:b/>
        </w:rPr>
      </w:r>
      <w:r/>
    </w:p>
    <w:p>
      <w:pPr>
        <w:pStyle w:val="601"/>
        <w:jc w:val="center"/>
        <w:rPr>
          <w:u w:val="single"/>
        </w:rPr>
      </w:pPr>
      <w:r>
        <w:rPr>
          <w:u w:val="single"/>
        </w:rPr>
      </w:r>
      <w:r/>
    </w:p>
    <w:p>
      <w:pPr>
        <w:pStyle w:val="601"/>
        <w:jc w:val="center"/>
        <w:rPr>
          <w:b/>
        </w:rPr>
      </w:pPr>
      <w:r/>
      <w:bookmarkStart w:id="0" w:name="_GoBack"/>
      <w:r/>
      <w:bookmarkEnd w:id="0"/>
      <w:r>
        <w:rPr>
          <w:b/>
        </w:rPr>
        <w:t xml:space="preserve">за 4</w:t>
      </w:r>
      <w:r>
        <w:rPr>
          <w:b/>
        </w:rPr>
        <w:t xml:space="preserve"> квартал 202</w:t>
      </w:r>
      <w:r>
        <w:rPr>
          <w:b/>
        </w:rPr>
        <w:t xml:space="preserve">2</w:t>
      </w:r>
      <w:r>
        <w:rPr>
          <w:b/>
        </w:rPr>
        <w:t xml:space="preserve"> </w:t>
      </w:r>
      <w:r>
        <w:rPr>
          <w:b/>
        </w:rPr>
        <w:t xml:space="preserve">года</w:t>
      </w:r>
      <w:r/>
    </w:p>
    <w:p>
      <w:pPr>
        <w:pStyle w:val="601"/>
        <w:jc w:val="center"/>
        <w:rPr>
          <w:b/>
        </w:rPr>
      </w:pPr>
      <w:r>
        <w:rPr>
          <w:b/>
        </w:rPr>
      </w:r>
      <w:r/>
    </w:p>
    <w:p>
      <w:pPr>
        <w:pStyle w:val="601"/>
        <w:jc w:val="center"/>
        <w:rPr>
          <w:b/>
        </w:rPr>
      </w:pPr>
      <w:r>
        <w:rPr>
          <w:b/>
        </w:rPr>
      </w:r>
      <w:r/>
    </w:p>
    <w:tbl>
      <w:tblPr>
        <w:tblW w:w="5000" w:type="pct"/>
        <w:jc w:val="center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342"/>
        <w:gridCol w:w="2447"/>
        <w:gridCol w:w="3107"/>
        <w:gridCol w:w="2267"/>
        <w:gridCol w:w="881"/>
        <w:gridCol w:w="1141"/>
        <w:gridCol w:w="1725"/>
        <w:gridCol w:w="1689"/>
        <w:gridCol w:w="1141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Показатель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Всего за квартал, чел.</w:t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 месяц квартала, чел.</w:t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 месяц квартала, чел.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3 месяц квартала, чел.</w:t>
            </w:r>
            <w:r>
              <w:rPr>
                <w:highlight w:val="none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Количество опрошенных граждан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1119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425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32</w:t>
            </w:r>
            <w:r>
              <w:rPr>
                <w:color w:val="000000"/>
                <w:highlight w:val="none"/>
              </w:rPr>
              <w:t xml:space="preserve">9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365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restart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restart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Доля граждан, оценивающих работу ОСЗН СО выше среднего и доверяющих их деятельности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Оценивающих работу выше среднего (4-5)</w:t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Оценивающих работу средне (3)</w:t>
            </w:r>
            <w:r>
              <w:rPr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Оценивающие работу ниже среднего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t xml:space="preserve">(2 и ниже)</w:t>
            </w:r>
            <w:r>
              <w:rPr>
                <w:highlight w:val="none"/>
              </w:rPr>
            </w:r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continue"/>
            <w:textDirection w:val="lrTb"/>
            <w:noWrap w:val="false"/>
          </w:tcPr>
          <w:p>
            <w:pPr>
              <w:pStyle w:val="601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continue"/>
            <w:textDirection w:val="lrTb"/>
            <w:noWrap w:val="false"/>
          </w:tcPr>
          <w:p>
            <w:pPr>
              <w:pStyle w:val="601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Чел.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% от общего числа опрошенных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Чел.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% от общего числа опрошенных</w:t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Чел.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% от общего числа опрошенных</w:t>
            </w:r>
            <w:r>
              <w:rPr>
                <w:highlight w:val="none"/>
              </w:rPr>
            </w:r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continue"/>
            <w:textDirection w:val="lrTb"/>
            <w:noWrap w:val="false"/>
          </w:tcPr>
          <w:p>
            <w:pPr>
              <w:pStyle w:val="601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continue"/>
            <w:textDirection w:val="lrTb"/>
            <w:noWrap w:val="false"/>
          </w:tcPr>
          <w:p>
            <w:pPr>
              <w:pStyle w:val="601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1009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90,2%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106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9,4</w:t>
            </w:r>
            <w:r>
              <w:rPr>
                <w:color w:val="000000"/>
                <w:highlight w:val="none"/>
              </w:rPr>
              <w:t xml:space="preserve">%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4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0,4%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restart"/>
            <w:textDirection w:val="lrTb"/>
            <w:noWrap w:val="false"/>
          </w:tcPr>
          <w:p>
            <w:pPr>
              <w:pStyle w:val="601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restart"/>
            <w:textDirection w:val="lrTb"/>
            <w:noWrap w:val="false"/>
          </w:tcPr>
          <w:p>
            <w:pPr>
              <w:pStyle w:val="6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Уровень информированности граждан</w:t>
            </w:r>
            <w:r>
              <w:rPr>
                <w:b/>
                <w:color w:val="000000"/>
              </w:rPr>
              <w:br w:type="textWrapping" w:clear="all"/>
            </w:r>
            <w:r>
              <w:rPr>
                <w:b/>
                <w:color w:val="000000"/>
              </w:rPr>
              <w:t xml:space="preserve">о структурах, в чью компетенцию входят вопросы по борьбе с коррупцией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чел.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% от общего числа опрошенных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"нет", чел.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"нет", % от общего числа опрошенных</w:t>
            </w: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continue"/>
            <w:textDirection w:val="lrTb"/>
            <w:noWrap w:val="false"/>
          </w:tcPr>
          <w:p>
            <w:pPr>
              <w:pStyle w:val="601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continue"/>
            <w:textDirection w:val="lrTb"/>
            <w:noWrap w:val="false"/>
          </w:tcPr>
          <w:p>
            <w:pPr>
              <w:pStyle w:val="6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1065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95,2%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54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4,8%</w:t>
            </w: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restart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restart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Сталкивались ли </w:t>
            </w:r>
            <w:r>
              <w:rPr>
                <w:b/>
                <w:bCs/>
                <w:color w:val="000000"/>
              </w:rPr>
              <w:t xml:space="preserve">граждане</w:t>
            </w:r>
            <w:r>
              <w:rPr>
                <w:b/>
                <w:bCs/>
                <w:color w:val="000000"/>
              </w:rPr>
              <w:t xml:space="preserve"> с проявлением коррупции в ОСЗН СО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чел.</w:t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% от общего числа опрошенных</w:t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"нет", чел.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"нет", % от общего числа опрошенных</w:t>
            </w: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continue"/>
            <w:textDirection w:val="lrTb"/>
            <w:noWrap w:val="false"/>
          </w:tcPr>
          <w:p>
            <w:pPr>
              <w:pStyle w:val="601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continue"/>
            <w:textDirection w:val="lrTb"/>
            <w:noWrap w:val="false"/>
          </w:tcPr>
          <w:p>
            <w:pPr>
              <w:pStyle w:val="601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1119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100%</w:t>
            </w: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textDirection w:val="lrTb"/>
            <w:noWrap w:val="false"/>
          </w:tcPr>
          <w:p>
            <w:pPr>
              <w:pStyle w:val="601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Если «Да», то в чем это выразилось:</w:t>
            </w:r>
            <w:r/>
          </w:p>
          <w:p>
            <w:pPr>
              <w:pStyle w:val="605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вымогательство;</w:t>
            </w:r>
            <w:r/>
          </w:p>
          <w:p>
            <w:pPr>
              <w:pStyle w:val="605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затягивание решения вопроса;</w:t>
            </w:r>
            <w:r/>
          </w:p>
          <w:p>
            <w:pPr>
              <w:pStyle w:val="605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взяточничество;</w:t>
            </w:r>
            <w:r/>
          </w:p>
          <w:p>
            <w:pPr>
              <w:pStyle w:val="605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откат;</w:t>
            </w:r>
            <w:r/>
          </w:p>
          <w:p>
            <w:pPr>
              <w:pStyle w:val="605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искажение данных в финансовых декларациях;</w:t>
            </w:r>
            <w:r/>
          </w:p>
          <w:p>
            <w:pPr>
              <w:pStyle w:val="605"/>
              <w:numPr>
                <w:ilvl w:val="0"/>
                <w:numId w:val="1"/>
              </w:numPr>
              <w:ind w:left="302" w:hanging="284"/>
              <w:jc w:val="both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протекционизм (защита, покровительство) - 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одбор должностных лиц не по деловым качествам, а по знакомству, по протекции. Протекция (протежирование) — покровительство в устройстве куда-нибудь, в продвижении по службе);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05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кумовство;</w:t>
            </w:r>
            <w:r/>
          </w:p>
          <w:p>
            <w:pPr>
              <w:pStyle w:val="605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растрата;</w:t>
            </w:r>
            <w:r/>
          </w:p>
          <w:p>
            <w:pPr>
              <w:pStyle w:val="605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мошенничество;</w:t>
            </w:r>
            <w:r/>
          </w:p>
          <w:p>
            <w:pPr>
              <w:pStyle w:val="605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злоупотребление государственным имуществом;</w:t>
            </w:r>
            <w:r/>
          </w:p>
          <w:p>
            <w:pPr>
              <w:pStyle w:val="605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незаконного пособия, льготы или вознаграждения;</w:t>
            </w:r>
            <w:r/>
          </w:p>
          <w:p>
            <w:pPr>
              <w:pStyle w:val="605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незаконные пожертвования и вклады;</w:t>
            </w:r>
            <w:r/>
          </w:p>
          <w:p>
            <w:pPr>
              <w:pStyle w:val="605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подношения.</w:t>
            </w:r>
            <w:r>
              <w:rPr>
                <w:color w:val="000000"/>
              </w:rPr>
            </w:r>
            <w:r/>
          </w:p>
          <w:p>
            <w:pPr>
              <w:pStyle w:val="605"/>
              <w:ind w:left="30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</w:pPr>
            <w:r/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  <w:trHeight w:val="7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 каком органе социальной защиты населения с</w:t>
            </w:r>
            <w:r>
              <w:rPr>
                <w:b/>
                <w:bCs/>
                <w:color w:val="000000"/>
              </w:rPr>
              <w:t xml:space="preserve">талкивались </w:t>
            </w:r>
            <w:r>
              <w:rPr>
                <w:b/>
                <w:bCs/>
                <w:color w:val="000000"/>
              </w:rPr>
              <w:t xml:space="preserve">граждане</w:t>
            </w:r>
            <w:r>
              <w:rPr>
                <w:b/>
                <w:bCs/>
                <w:color w:val="000000"/>
              </w:rPr>
              <w:t xml:space="preserve"> с проявлением коррупции</w:t>
            </w:r>
            <w:r>
              <w:rPr>
                <w:b/>
                <w:bCs/>
                <w:color w:val="000000"/>
              </w:rPr>
              <w:t xml:space="preserve">:</w:t>
            </w:r>
            <w:r/>
          </w:p>
          <w:p>
            <w:pPr>
              <w:pStyle w:val="6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«Многофункциональный центр предоставления государственных и муниципальных услуг в ЕАО»;</w:t>
            </w:r>
            <w:r/>
          </w:p>
          <w:p>
            <w:pPr>
              <w:pStyle w:val="6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«Биробиджанский психоневрологический интернат»;</w:t>
            </w:r>
            <w:r/>
          </w:p>
          <w:p>
            <w:pPr>
              <w:pStyle w:val="6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«Валдгеймский детский дом-интернат для умственно отсталых детей»;</w:t>
            </w:r>
            <w:r/>
          </w:p>
          <w:p>
            <w:pPr>
              <w:pStyle w:val="6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«Бирофельдский дом-интернат для престарелых и инвалидов»;</w:t>
            </w:r>
            <w:r/>
          </w:p>
          <w:p>
            <w:pPr>
              <w:pStyle w:val="6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«Социально-реабилитационный центр для несовершеннолетних»;</w:t>
            </w:r>
            <w:r/>
          </w:p>
          <w:p>
            <w:pPr>
              <w:pStyle w:val="6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«Специальный дом для одиноких престарелых граждан № 1»;</w:t>
            </w:r>
            <w:r/>
          </w:p>
          <w:p>
            <w:pPr>
              <w:pStyle w:val="6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«Специальный дом для одиноких престарелых граждан № 2»;</w:t>
            </w:r>
            <w:r/>
          </w:p>
          <w:p>
            <w:pPr>
              <w:pStyle w:val="6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«Хинганский дом-интернат для престарелых и инвалидов»;</w:t>
            </w:r>
            <w:r/>
          </w:p>
          <w:p>
            <w:pPr>
              <w:pStyle w:val="6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«Бираканский дом-интернат для престарелых и инвалидов»;</w:t>
            </w:r>
            <w:r/>
          </w:p>
          <w:p>
            <w:pPr>
              <w:pStyle w:val="6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«Комплексный центр социального обслуживания ЕАО»;</w:t>
            </w:r>
            <w:r/>
          </w:p>
          <w:p>
            <w:pPr>
              <w:pStyle w:val="6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«Комитет социальной защиты населения правительства ЕАО».</w:t>
            </w:r>
            <w:r>
              <w:rPr>
                <w:color w:val="000000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053" w:type="pct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чел.</w:t>
            </w: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Структуры, в которые граждане обращались при выявлении фактов коррупции со стороны представителей ОСЗН СО (перечислить):</w:t>
            </w:r>
            <w:r>
              <w:rPr>
                <w:b/>
                <w:bCs/>
                <w:color w:val="000000"/>
              </w:rPr>
            </w:r>
            <w:r/>
          </w:p>
          <w:p>
            <w:pPr>
              <w:pStyle w:val="601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органы внутренних дел;</w:t>
            </w:r>
            <w:r/>
          </w:p>
          <w:p>
            <w:pPr>
              <w:pStyle w:val="601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органы прокуратуры;</w:t>
            </w:r>
            <w:r/>
          </w:p>
          <w:p>
            <w:pPr>
              <w:pStyle w:val="601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следственный комитет;</w:t>
            </w:r>
            <w:r/>
          </w:p>
          <w:p>
            <w:pPr>
              <w:pStyle w:val="601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правительство ЕАО;</w:t>
            </w:r>
            <w:r/>
          </w:p>
          <w:p>
            <w:pPr>
              <w:pStyle w:val="601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комитет социальной защиты населения правительства ЕАО;</w:t>
            </w:r>
            <w:r/>
          </w:p>
          <w:p>
            <w:pPr>
              <w:pStyle w:val="601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к руководству учреждения социальной защиты населения.</w:t>
            </w:r>
            <w:r>
              <w:rPr>
                <w:bCs/>
                <w:color w:val="000000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обращений</w:t>
            </w: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restart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restart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 уровня информированности граждан о состоянии коррупции в СО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"высокий",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"средний", чел.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"низкий",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"высокий",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"средний",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"низкий", %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continue"/>
            <w:textDirection w:val="lrTb"/>
            <w:noWrap w:val="false"/>
          </w:tcPr>
          <w:p>
            <w:pPr>
              <w:pStyle w:val="601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continue"/>
            <w:textDirection w:val="lrTb"/>
            <w:noWrap w:val="false"/>
          </w:tcPr>
          <w:p>
            <w:pPr>
              <w:pStyle w:val="601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815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248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56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73%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22%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5%</w:t>
            </w: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restart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restart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 уровня информационной прозрачности деятельности ОСЗН СО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"высокий", чел.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"средний", чел.</w:t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"низкий", чел.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"высокий",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"средний",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"низкий", %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continue"/>
            <w:textDirection w:val="lrTb"/>
            <w:noWrap w:val="false"/>
          </w:tcPr>
          <w:p>
            <w:pPr>
              <w:pStyle w:val="601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continue"/>
            <w:textDirection w:val="lrTb"/>
            <w:noWrap w:val="false"/>
          </w:tcPr>
          <w:p>
            <w:pPr>
              <w:pStyle w:val="601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908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195</w:t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16</w:t>
            </w:r>
            <w:r>
              <w:rPr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81,1%%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17,43%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1,43%</w:t>
            </w:r>
            <w:r>
              <w:rPr>
                <w:color w:val="000000"/>
              </w:rPr>
            </w:r>
            <w:r/>
          </w:p>
        </w:tc>
      </w:tr>
    </w:tbl>
    <w:sectPr>
      <w:footnotePr/>
      <w:endnotePr/>
      <w:type w:val="nextPage"/>
      <w:pgSz w:w="16838" w:h="11906" w:orient="landscape"/>
      <w:pgMar w:top="899" w:right="1134" w:bottom="851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pStyle w:val="601"/>
        <w:ind w:left="143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01"/>
        <w:ind w:left="215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1"/>
        <w:ind w:left="287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1"/>
        <w:ind w:left="359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1"/>
        <w:ind w:left="431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1"/>
        <w:ind w:left="503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1"/>
        <w:ind w:left="575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1"/>
        <w:ind w:left="647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1"/>
        <w:ind w:left="719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pStyle w:val="601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01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1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1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1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1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1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1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1"/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1"/>
    <w:next w:val="6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1"/>
    <w:next w:val="60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1"/>
    <w:next w:val="6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1"/>
    <w:next w:val="6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1"/>
    <w:next w:val="6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1"/>
    <w:next w:val="6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1"/>
    <w:next w:val="6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1"/>
    <w:next w:val="6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1"/>
    <w:next w:val="6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1"/>
    <w:next w:val="6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1"/>
    <w:next w:val="6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1"/>
    <w:next w:val="6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1"/>
    <w:next w:val="6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next w:val="601"/>
    <w:link w:val="601"/>
    <w:qFormat/>
    <w:rPr>
      <w:sz w:val="24"/>
      <w:szCs w:val="24"/>
      <w:lang w:val="ru-RU" w:eastAsia="ru-RU" w:bidi="ar-SA"/>
    </w:rPr>
  </w:style>
  <w:style w:type="character" w:styleId="602">
    <w:name w:val="Основной шрифт абзаца"/>
    <w:next w:val="602"/>
    <w:link w:val="601"/>
    <w:semiHidden/>
  </w:style>
  <w:style w:type="table" w:styleId="603">
    <w:name w:val="Обычная таблица"/>
    <w:next w:val="603"/>
    <w:link w:val="601"/>
    <w:semiHidden/>
    <w:tblPr/>
  </w:style>
  <w:style w:type="numbering" w:styleId="604">
    <w:name w:val="Нет списка"/>
    <w:next w:val="604"/>
    <w:link w:val="601"/>
    <w:semiHidden/>
  </w:style>
  <w:style w:type="paragraph" w:styleId="605">
    <w:name w:val="Абзац списка"/>
    <w:basedOn w:val="601"/>
    <w:next w:val="605"/>
    <w:link w:val="601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character" w:styleId="2148" w:default="1">
    <w:name w:val="Default Paragraph Font"/>
    <w:uiPriority w:val="1"/>
    <w:semiHidden/>
    <w:unhideWhenUsed/>
  </w:style>
  <w:style w:type="numbering" w:styleId="2149" w:default="1">
    <w:name w:val="No List"/>
    <w:uiPriority w:val="99"/>
    <w:semiHidden/>
    <w:unhideWhenUsed/>
  </w:style>
  <w:style w:type="table" w:styleId="21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revision>15</cp:revision>
  <dcterms:created xsi:type="dcterms:W3CDTF">2017-12-21T05:56:00Z</dcterms:created>
  <dcterms:modified xsi:type="dcterms:W3CDTF">2023-07-25T06:12:41Z</dcterms:modified>
  <cp:version>917504</cp:version>
</cp:coreProperties>
</file>